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D0" w:rsidRDefault="00874CB6" w:rsidP="006C42D0">
      <w:proofErr w:type="spellStart"/>
      <w:r>
        <w:t>Amev</w:t>
      </w:r>
      <w:proofErr w:type="spellEnd"/>
      <w:r>
        <w:t xml:space="preserve"> </w:t>
      </w:r>
      <w:proofErr w:type="spellStart"/>
      <w:r>
        <w:t>Revabo</w:t>
      </w:r>
      <w:proofErr w:type="spellEnd"/>
    </w:p>
    <w:p w:rsidR="00874CB6" w:rsidRDefault="00874CB6" w:rsidP="006C42D0">
      <w:r>
        <w:rPr>
          <w:rFonts w:ascii="Verdana" w:hAnsi="Verdana"/>
          <w:b/>
          <w:bCs/>
          <w:color w:val="333333"/>
          <w:sz w:val="34"/>
          <w:szCs w:val="34"/>
        </w:rPr>
        <w:t>AF7002</w:t>
      </w:r>
    </w:p>
    <w:p w:rsidR="006C42D0" w:rsidRDefault="006C42D0" w:rsidP="006C42D0"/>
    <w:p w:rsidR="006C42D0" w:rsidRDefault="006C42D0" w:rsidP="006C42D0"/>
    <w:p w:rsidR="00287208" w:rsidRDefault="00916A8C" w:rsidP="00287208">
      <w:pPr>
        <w:rPr>
          <w:b/>
          <w:sz w:val="32"/>
          <w:szCs w:val="32"/>
        </w:rPr>
      </w:pPr>
      <w:r w:rsidRPr="00287208">
        <w:rPr>
          <w:b/>
          <w:sz w:val="32"/>
          <w:szCs w:val="32"/>
        </w:rPr>
        <w:t>Historisch overzicht weren UWV convenant</w:t>
      </w:r>
      <w:r w:rsidR="006C42D0" w:rsidRPr="00287208">
        <w:rPr>
          <w:b/>
          <w:sz w:val="32"/>
          <w:szCs w:val="32"/>
        </w:rPr>
        <w:t xml:space="preserve"> </w:t>
      </w:r>
    </w:p>
    <w:p w:rsidR="00287208" w:rsidRDefault="00287208" w:rsidP="00287208">
      <w:pPr>
        <w:rPr>
          <w:b/>
        </w:rPr>
      </w:pPr>
      <w:r>
        <w:rPr>
          <w:b/>
        </w:rPr>
        <w:t>Inhoud</w:t>
      </w:r>
    </w:p>
    <w:p w:rsidR="00F11533" w:rsidRDefault="00F11533" w:rsidP="00287208">
      <w:pPr>
        <w:rPr>
          <w:b/>
        </w:rPr>
      </w:pPr>
    </w:p>
    <w:p w:rsidR="00F11533" w:rsidRDefault="00F11533" w:rsidP="00287208">
      <w:pPr>
        <w:rPr>
          <w:b/>
        </w:rPr>
      </w:pPr>
      <w:r>
        <w:rPr>
          <w:b/>
        </w:rPr>
        <w:t>Toelichting 2008 ontbreekt,</w:t>
      </w:r>
    </w:p>
    <w:p w:rsidR="00F11533" w:rsidRDefault="00F11533" w:rsidP="00287208">
      <w:pPr>
        <w:rPr>
          <w:b/>
        </w:rPr>
      </w:pPr>
      <w:r>
        <w:rPr>
          <w:b/>
        </w:rPr>
        <w:t>In 1998 was art. 3 art. 4</w:t>
      </w:r>
    </w:p>
    <w:p w:rsidR="00F11533" w:rsidRDefault="00F11533" w:rsidP="00287208">
      <w:pPr>
        <w:rPr>
          <w:b/>
        </w:rPr>
      </w:pPr>
    </w:p>
    <w:p w:rsidR="00962360" w:rsidRDefault="00F11533">
      <w:pPr>
        <w:pStyle w:val="Inhopg1"/>
        <w:tabs>
          <w:tab w:val="right" w:leader="dot" w:pos="9062"/>
        </w:tabs>
        <w:rPr>
          <w:rFonts w:asciiTheme="minorHAnsi" w:eastAsiaTheme="minorEastAsia" w:hAnsiTheme="minorHAnsi" w:cstheme="minorBidi"/>
          <w:noProof/>
          <w:sz w:val="22"/>
          <w:szCs w:val="22"/>
        </w:rPr>
      </w:pPr>
      <w:r>
        <w:rPr>
          <w:b/>
        </w:rPr>
        <w:fldChar w:fldCharType="begin"/>
      </w:r>
      <w:r>
        <w:rPr>
          <w:b/>
        </w:rPr>
        <w:instrText xml:space="preserve"> TOC \o "1-2" \h \z \u </w:instrText>
      </w:r>
      <w:r>
        <w:rPr>
          <w:b/>
        </w:rPr>
        <w:fldChar w:fldCharType="separate"/>
      </w:r>
      <w:hyperlink w:anchor="_Toc370291954" w:history="1">
        <w:r w:rsidR="00962360" w:rsidRPr="00F72520">
          <w:rPr>
            <w:rStyle w:val="Hyperlink"/>
            <w:noProof/>
          </w:rPr>
          <w:t>Convenant en toelichting geheel, art. 3 en 4</w:t>
        </w:r>
        <w:r w:rsidR="00962360">
          <w:rPr>
            <w:noProof/>
            <w:webHidden/>
          </w:rPr>
          <w:tab/>
        </w:r>
        <w:r w:rsidR="00962360">
          <w:rPr>
            <w:noProof/>
            <w:webHidden/>
          </w:rPr>
          <w:fldChar w:fldCharType="begin"/>
        </w:r>
        <w:r w:rsidR="00962360">
          <w:rPr>
            <w:noProof/>
            <w:webHidden/>
          </w:rPr>
          <w:instrText xml:space="preserve"> PAGEREF _Toc370291954 \h </w:instrText>
        </w:r>
        <w:r w:rsidR="00962360">
          <w:rPr>
            <w:noProof/>
            <w:webHidden/>
          </w:rPr>
        </w:r>
        <w:r w:rsidR="00962360">
          <w:rPr>
            <w:noProof/>
            <w:webHidden/>
          </w:rPr>
          <w:fldChar w:fldCharType="separate"/>
        </w:r>
        <w:r w:rsidR="00962360">
          <w:rPr>
            <w:noProof/>
            <w:webHidden/>
          </w:rPr>
          <w:t>2</w:t>
        </w:r>
        <w:r w:rsidR="00962360">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55" w:history="1">
        <w:r w:rsidRPr="00F72520">
          <w:rPr>
            <w:rStyle w:val="Hyperlink"/>
            <w:noProof/>
          </w:rPr>
          <w:t>1998</w:t>
        </w:r>
        <w:r>
          <w:rPr>
            <w:noProof/>
            <w:webHidden/>
          </w:rPr>
          <w:tab/>
        </w:r>
        <w:r>
          <w:rPr>
            <w:noProof/>
            <w:webHidden/>
          </w:rPr>
          <w:fldChar w:fldCharType="begin"/>
        </w:r>
        <w:r>
          <w:rPr>
            <w:noProof/>
            <w:webHidden/>
          </w:rPr>
          <w:instrText xml:space="preserve"> PAGEREF _Toc370291955 \h </w:instrText>
        </w:r>
        <w:r>
          <w:rPr>
            <w:noProof/>
            <w:webHidden/>
          </w:rPr>
        </w:r>
        <w:r>
          <w:rPr>
            <w:noProof/>
            <w:webHidden/>
          </w:rPr>
          <w:fldChar w:fldCharType="separate"/>
        </w:r>
        <w:r>
          <w:rPr>
            <w:noProof/>
            <w:webHidden/>
          </w:rPr>
          <w:t>2</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56" w:history="1">
        <w:r w:rsidRPr="00F72520">
          <w:rPr>
            <w:rStyle w:val="Hyperlink"/>
            <w:noProof/>
          </w:rPr>
          <w:t>200</w:t>
        </w:r>
        <w:r w:rsidRPr="00F72520">
          <w:rPr>
            <w:rStyle w:val="Hyperlink"/>
            <w:noProof/>
          </w:rPr>
          <w:t>1</w:t>
        </w:r>
        <w:r>
          <w:rPr>
            <w:noProof/>
            <w:webHidden/>
          </w:rPr>
          <w:tab/>
        </w:r>
        <w:r>
          <w:rPr>
            <w:noProof/>
            <w:webHidden/>
          </w:rPr>
          <w:fldChar w:fldCharType="begin"/>
        </w:r>
        <w:r>
          <w:rPr>
            <w:noProof/>
            <w:webHidden/>
          </w:rPr>
          <w:instrText xml:space="preserve"> PAGEREF _Toc370291956 \h </w:instrText>
        </w:r>
        <w:r>
          <w:rPr>
            <w:noProof/>
            <w:webHidden/>
          </w:rPr>
        </w:r>
        <w:r>
          <w:rPr>
            <w:noProof/>
            <w:webHidden/>
          </w:rPr>
          <w:fldChar w:fldCharType="separate"/>
        </w:r>
        <w:r>
          <w:rPr>
            <w:noProof/>
            <w:webHidden/>
          </w:rPr>
          <w:t>3</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57" w:history="1">
        <w:r w:rsidRPr="00F72520">
          <w:rPr>
            <w:rStyle w:val="Hyperlink"/>
            <w:noProof/>
          </w:rPr>
          <w:t>2004</w:t>
        </w:r>
        <w:r>
          <w:rPr>
            <w:noProof/>
            <w:webHidden/>
          </w:rPr>
          <w:tab/>
        </w:r>
        <w:r>
          <w:rPr>
            <w:noProof/>
            <w:webHidden/>
          </w:rPr>
          <w:fldChar w:fldCharType="begin"/>
        </w:r>
        <w:r>
          <w:rPr>
            <w:noProof/>
            <w:webHidden/>
          </w:rPr>
          <w:instrText xml:space="preserve"> PAGEREF _Toc370291957 \h </w:instrText>
        </w:r>
        <w:r>
          <w:rPr>
            <w:noProof/>
            <w:webHidden/>
          </w:rPr>
        </w:r>
        <w:r>
          <w:rPr>
            <w:noProof/>
            <w:webHidden/>
          </w:rPr>
          <w:fldChar w:fldCharType="separate"/>
        </w:r>
        <w:r>
          <w:rPr>
            <w:noProof/>
            <w:webHidden/>
          </w:rPr>
          <w:t>4</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58" w:history="1">
        <w:r w:rsidRPr="00F72520">
          <w:rPr>
            <w:rStyle w:val="Hyperlink"/>
            <w:noProof/>
          </w:rPr>
          <w:t>2008</w:t>
        </w:r>
        <w:r>
          <w:rPr>
            <w:noProof/>
            <w:webHidden/>
          </w:rPr>
          <w:tab/>
        </w:r>
        <w:r>
          <w:rPr>
            <w:noProof/>
            <w:webHidden/>
          </w:rPr>
          <w:fldChar w:fldCharType="begin"/>
        </w:r>
        <w:r>
          <w:rPr>
            <w:noProof/>
            <w:webHidden/>
          </w:rPr>
          <w:instrText xml:space="preserve"> PAGEREF _Toc370291958 \h </w:instrText>
        </w:r>
        <w:r>
          <w:rPr>
            <w:noProof/>
            <w:webHidden/>
          </w:rPr>
        </w:r>
        <w:r>
          <w:rPr>
            <w:noProof/>
            <w:webHidden/>
          </w:rPr>
          <w:fldChar w:fldCharType="separate"/>
        </w:r>
        <w:r>
          <w:rPr>
            <w:noProof/>
            <w:webHidden/>
          </w:rPr>
          <w:t>4</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59" w:history="1">
        <w:r w:rsidRPr="00F72520">
          <w:rPr>
            <w:rStyle w:val="Hyperlink"/>
            <w:noProof/>
          </w:rPr>
          <w:t>2011</w:t>
        </w:r>
        <w:r>
          <w:rPr>
            <w:noProof/>
            <w:webHidden/>
          </w:rPr>
          <w:tab/>
        </w:r>
        <w:r>
          <w:rPr>
            <w:noProof/>
            <w:webHidden/>
          </w:rPr>
          <w:fldChar w:fldCharType="begin"/>
        </w:r>
        <w:r>
          <w:rPr>
            <w:noProof/>
            <w:webHidden/>
          </w:rPr>
          <w:instrText xml:space="preserve"> PAGEREF _Toc370291959 \h </w:instrText>
        </w:r>
        <w:r>
          <w:rPr>
            <w:noProof/>
            <w:webHidden/>
          </w:rPr>
        </w:r>
        <w:r>
          <w:rPr>
            <w:noProof/>
            <w:webHidden/>
          </w:rPr>
          <w:fldChar w:fldCharType="separate"/>
        </w:r>
        <w:r>
          <w:rPr>
            <w:noProof/>
            <w:webHidden/>
          </w:rPr>
          <w:t>5</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0" w:history="1">
        <w:r w:rsidRPr="00F72520">
          <w:rPr>
            <w:rStyle w:val="Hyperlink"/>
            <w:noProof/>
          </w:rPr>
          <w:t>2013</w:t>
        </w:r>
        <w:r>
          <w:rPr>
            <w:noProof/>
            <w:webHidden/>
          </w:rPr>
          <w:tab/>
        </w:r>
        <w:r>
          <w:rPr>
            <w:noProof/>
            <w:webHidden/>
          </w:rPr>
          <w:fldChar w:fldCharType="begin"/>
        </w:r>
        <w:r>
          <w:rPr>
            <w:noProof/>
            <w:webHidden/>
          </w:rPr>
          <w:instrText xml:space="preserve"> PAGEREF _Toc370291960 \h </w:instrText>
        </w:r>
        <w:r>
          <w:rPr>
            <w:noProof/>
            <w:webHidden/>
          </w:rPr>
        </w:r>
        <w:r>
          <w:rPr>
            <w:noProof/>
            <w:webHidden/>
          </w:rPr>
          <w:fldChar w:fldCharType="separate"/>
        </w:r>
        <w:r>
          <w:rPr>
            <w:noProof/>
            <w:webHidden/>
          </w:rPr>
          <w:t>5</w:t>
        </w:r>
        <w:r>
          <w:rPr>
            <w:noProof/>
            <w:webHidden/>
          </w:rPr>
          <w:fldChar w:fldCharType="end"/>
        </w:r>
      </w:hyperlink>
    </w:p>
    <w:p w:rsidR="00962360" w:rsidRDefault="00962360">
      <w:pPr>
        <w:pStyle w:val="Inhopg1"/>
        <w:tabs>
          <w:tab w:val="right" w:leader="dot" w:pos="9062"/>
        </w:tabs>
        <w:rPr>
          <w:rFonts w:asciiTheme="minorHAnsi" w:eastAsiaTheme="minorEastAsia" w:hAnsiTheme="minorHAnsi" w:cstheme="minorBidi"/>
          <w:noProof/>
          <w:sz w:val="22"/>
          <w:szCs w:val="22"/>
        </w:rPr>
      </w:pPr>
      <w:hyperlink w:anchor="_Toc370291961" w:history="1">
        <w:r w:rsidRPr="00F72520">
          <w:rPr>
            <w:rStyle w:val="Hyperlink"/>
            <w:noProof/>
          </w:rPr>
          <w:t>Tekst  artikel 3</w:t>
        </w:r>
        <w:r>
          <w:rPr>
            <w:noProof/>
            <w:webHidden/>
          </w:rPr>
          <w:tab/>
        </w:r>
        <w:r>
          <w:rPr>
            <w:noProof/>
            <w:webHidden/>
          </w:rPr>
          <w:fldChar w:fldCharType="begin"/>
        </w:r>
        <w:r>
          <w:rPr>
            <w:noProof/>
            <w:webHidden/>
          </w:rPr>
          <w:instrText xml:space="preserve"> PAGEREF _Toc370291961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2" w:history="1">
        <w:r w:rsidRPr="00F72520">
          <w:rPr>
            <w:rStyle w:val="Hyperlink"/>
            <w:noProof/>
          </w:rPr>
          <w:t>1998</w:t>
        </w:r>
        <w:r>
          <w:rPr>
            <w:noProof/>
            <w:webHidden/>
          </w:rPr>
          <w:tab/>
        </w:r>
        <w:r>
          <w:rPr>
            <w:noProof/>
            <w:webHidden/>
          </w:rPr>
          <w:fldChar w:fldCharType="begin"/>
        </w:r>
        <w:r>
          <w:rPr>
            <w:noProof/>
            <w:webHidden/>
          </w:rPr>
          <w:instrText xml:space="preserve"> PAGEREF _Toc370291962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3" w:history="1">
        <w:r w:rsidRPr="00F72520">
          <w:rPr>
            <w:rStyle w:val="Hyperlink"/>
            <w:noProof/>
          </w:rPr>
          <w:t>2001</w:t>
        </w:r>
        <w:r>
          <w:rPr>
            <w:noProof/>
            <w:webHidden/>
          </w:rPr>
          <w:tab/>
        </w:r>
        <w:r>
          <w:rPr>
            <w:noProof/>
            <w:webHidden/>
          </w:rPr>
          <w:fldChar w:fldCharType="begin"/>
        </w:r>
        <w:r>
          <w:rPr>
            <w:noProof/>
            <w:webHidden/>
          </w:rPr>
          <w:instrText xml:space="preserve"> PAGEREF _Toc370291963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4" w:history="1">
        <w:r w:rsidRPr="00F72520">
          <w:rPr>
            <w:rStyle w:val="Hyperlink"/>
            <w:noProof/>
          </w:rPr>
          <w:t>2004</w:t>
        </w:r>
        <w:r>
          <w:rPr>
            <w:noProof/>
            <w:webHidden/>
          </w:rPr>
          <w:tab/>
        </w:r>
        <w:r>
          <w:rPr>
            <w:noProof/>
            <w:webHidden/>
          </w:rPr>
          <w:fldChar w:fldCharType="begin"/>
        </w:r>
        <w:r>
          <w:rPr>
            <w:noProof/>
            <w:webHidden/>
          </w:rPr>
          <w:instrText xml:space="preserve"> PAGEREF _Toc370291964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5" w:history="1">
        <w:r w:rsidRPr="00F72520">
          <w:rPr>
            <w:rStyle w:val="Hyperlink"/>
            <w:noProof/>
          </w:rPr>
          <w:t>2008</w:t>
        </w:r>
        <w:r>
          <w:rPr>
            <w:noProof/>
            <w:webHidden/>
          </w:rPr>
          <w:tab/>
        </w:r>
        <w:r>
          <w:rPr>
            <w:noProof/>
            <w:webHidden/>
          </w:rPr>
          <w:fldChar w:fldCharType="begin"/>
        </w:r>
        <w:r>
          <w:rPr>
            <w:noProof/>
            <w:webHidden/>
          </w:rPr>
          <w:instrText xml:space="preserve"> PAGEREF _Toc370291965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6" w:history="1">
        <w:r w:rsidRPr="00F72520">
          <w:rPr>
            <w:rStyle w:val="Hyperlink"/>
            <w:noProof/>
          </w:rPr>
          <w:t>2011</w:t>
        </w:r>
        <w:r>
          <w:rPr>
            <w:noProof/>
            <w:webHidden/>
          </w:rPr>
          <w:tab/>
        </w:r>
        <w:r>
          <w:rPr>
            <w:noProof/>
            <w:webHidden/>
          </w:rPr>
          <w:fldChar w:fldCharType="begin"/>
        </w:r>
        <w:r>
          <w:rPr>
            <w:noProof/>
            <w:webHidden/>
          </w:rPr>
          <w:instrText xml:space="preserve"> PAGEREF _Toc370291966 \h </w:instrText>
        </w:r>
        <w:r>
          <w:rPr>
            <w:noProof/>
            <w:webHidden/>
          </w:rPr>
        </w:r>
        <w:r>
          <w:rPr>
            <w:noProof/>
            <w:webHidden/>
          </w:rPr>
          <w:fldChar w:fldCharType="separate"/>
        </w:r>
        <w:r>
          <w:rPr>
            <w:noProof/>
            <w:webHidden/>
          </w:rPr>
          <w:t>7</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7" w:history="1">
        <w:r w:rsidRPr="00F72520">
          <w:rPr>
            <w:rStyle w:val="Hyperlink"/>
            <w:noProof/>
          </w:rPr>
          <w:t>2013</w:t>
        </w:r>
        <w:r>
          <w:rPr>
            <w:noProof/>
            <w:webHidden/>
          </w:rPr>
          <w:tab/>
        </w:r>
        <w:r>
          <w:rPr>
            <w:noProof/>
            <w:webHidden/>
          </w:rPr>
          <w:fldChar w:fldCharType="begin"/>
        </w:r>
        <w:r>
          <w:rPr>
            <w:noProof/>
            <w:webHidden/>
          </w:rPr>
          <w:instrText xml:space="preserve"> PAGEREF _Toc370291967 \h </w:instrText>
        </w:r>
        <w:r>
          <w:rPr>
            <w:noProof/>
            <w:webHidden/>
          </w:rPr>
        </w:r>
        <w:r>
          <w:rPr>
            <w:noProof/>
            <w:webHidden/>
          </w:rPr>
          <w:fldChar w:fldCharType="separate"/>
        </w:r>
        <w:r>
          <w:rPr>
            <w:noProof/>
            <w:webHidden/>
          </w:rPr>
          <w:t>8</w:t>
        </w:r>
        <w:r>
          <w:rPr>
            <w:noProof/>
            <w:webHidden/>
          </w:rPr>
          <w:fldChar w:fldCharType="end"/>
        </w:r>
      </w:hyperlink>
    </w:p>
    <w:p w:rsidR="00962360" w:rsidRDefault="00962360">
      <w:pPr>
        <w:pStyle w:val="Inhopg1"/>
        <w:tabs>
          <w:tab w:val="right" w:leader="dot" w:pos="9062"/>
        </w:tabs>
        <w:rPr>
          <w:rFonts w:asciiTheme="minorHAnsi" w:eastAsiaTheme="minorEastAsia" w:hAnsiTheme="minorHAnsi" w:cstheme="minorBidi"/>
          <w:noProof/>
          <w:sz w:val="22"/>
          <w:szCs w:val="22"/>
        </w:rPr>
      </w:pPr>
      <w:hyperlink w:anchor="_Toc370291968" w:history="1">
        <w:r w:rsidRPr="00F72520">
          <w:rPr>
            <w:rStyle w:val="Hyperlink"/>
            <w:noProof/>
          </w:rPr>
          <w:t>Toelichting art. 3,</w:t>
        </w:r>
        <w:r>
          <w:rPr>
            <w:noProof/>
            <w:webHidden/>
          </w:rPr>
          <w:tab/>
        </w:r>
        <w:r>
          <w:rPr>
            <w:noProof/>
            <w:webHidden/>
          </w:rPr>
          <w:fldChar w:fldCharType="begin"/>
        </w:r>
        <w:r>
          <w:rPr>
            <w:noProof/>
            <w:webHidden/>
          </w:rPr>
          <w:instrText xml:space="preserve"> PAGEREF _Toc370291968 \h </w:instrText>
        </w:r>
        <w:r>
          <w:rPr>
            <w:noProof/>
            <w:webHidden/>
          </w:rPr>
        </w:r>
        <w:r>
          <w:rPr>
            <w:noProof/>
            <w:webHidden/>
          </w:rPr>
          <w:fldChar w:fldCharType="separate"/>
        </w:r>
        <w:r>
          <w:rPr>
            <w:noProof/>
            <w:webHidden/>
          </w:rPr>
          <w:t>8</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69" w:history="1">
        <w:r w:rsidRPr="00F72520">
          <w:rPr>
            <w:rStyle w:val="Hyperlink"/>
            <w:noProof/>
          </w:rPr>
          <w:t>1998</w:t>
        </w:r>
        <w:r>
          <w:rPr>
            <w:noProof/>
            <w:webHidden/>
          </w:rPr>
          <w:tab/>
        </w:r>
        <w:r>
          <w:rPr>
            <w:noProof/>
            <w:webHidden/>
          </w:rPr>
          <w:fldChar w:fldCharType="begin"/>
        </w:r>
        <w:r>
          <w:rPr>
            <w:noProof/>
            <w:webHidden/>
          </w:rPr>
          <w:instrText xml:space="preserve"> PAGEREF _Toc370291969 \h </w:instrText>
        </w:r>
        <w:r>
          <w:rPr>
            <w:noProof/>
            <w:webHidden/>
          </w:rPr>
        </w:r>
        <w:r>
          <w:rPr>
            <w:noProof/>
            <w:webHidden/>
          </w:rPr>
          <w:fldChar w:fldCharType="separate"/>
        </w:r>
        <w:r>
          <w:rPr>
            <w:noProof/>
            <w:webHidden/>
          </w:rPr>
          <w:t>8</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0" w:history="1">
        <w:r w:rsidRPr="00F72520">
          <w:rPr>
            <w:rStyle w:val="Hyperlink"/>
            <w:noProof/>
          </w:rPr>
          <w:t>2001</w:t>
        </w:r>
        <w:r>
          <w:rPr>
            <w:noProof/>
            <w:webHidden/>
          </w:rPr>
          <w:tab/>
        </w:r>
        <w:r>
          <w:rPr>
            <w:noProof/>
            <w:webHidden/>
          </w:rPr>
          <w:fldChar w:fldCharType="begin"/>
        </w:r>
        <w:r>
          <w:rPr>
            <w:noProof/>
            <w:webHidden/>
          </w:rPr>
          <w:instrText xml:space="preserve"> PAGEREF _Toc370291970 \h </w:instrText>
        </w:r>
        <w:r>
          <w:rPr>
            <w:noProof/>
            <w:webHidden/>
          </w:rPr>
        </w:r>
        <w:r>
          <w:rPr>
            <w:noProof/>
            <w:webHidden/>
          </w:rPr>
          <w:fldChar w:fldCharType="separate"/>
        </w:r>
        <w:r>
          <w:rPr>
            <w:noProof/>
            <w:webHidden/>
          </w:rPr>
          <w:t>9</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1" w:history="1">
        <w:r w:rsidRPr="00F72520">
          <w:rPr>
            <w:rStyle w:val="Hyperlink"/>
            <w:noProof/>
          </w:rPr>
          <w:t>2004</w:t>
        </w:r>
        <w:r>
          <w:rPr>
            <w:noProof/>
            <w:webHidden/>
          </w:rPr>
          <w:tab/>
        </w:r>
        <w:r>
          <w:rPr>
            <w:noProof/>
            <w:webHidden/>
          </w:rPr>
          <w:fldChar w:fldCharType="begin"/>
        </w:r>
        <w:r>
          <w:rPr>
            <w:noProof/>
            <w:webHidden/>
          </w:rPr>
          <w:instrText xml:space="preserve"> PAGEREF _Toc370291971 \h </w:instrText>
        </w:r>
        <w:r>
          <w:rPr>
            <w:noProof/>
            <w:webHidden/>
          </w:rPr>
        </w:r>
        <w:r>
          <w:rPr>
            <w:noProof/>
            <w:webHidden/>
          </w:rPr>
          <w:fldChar w:fldCharType="separate"/>
        </w:r>
        <w:r>
          <w:rPr>
            <w:noProof/>
            <w:webHidden/>
          </w:rPr>
          <w:t>9</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2" w:history="1">
        <w:r w:rsidRPr="00F72520">
          <w:rPr>
            <w:rStyle w:val="Hyperlink"/>
            <w:noProof/>
          </w:rPr>
          <w:t>2011</w:t>
        </w:r>
        <w:r>
          <w:rPr>
            <w:noProof/>
            <w:webHidden/>
          </w:rPr>
          <w:tab/>
        </w:r>
        <w:r>
          <w:rPr>
            <w:noProof/>
            <w:webHidden/>
          </w:rPr>
          <w:fldChar w:fldCharType="begin"/>
        </w:r>
        <w:r>
          <w:rPr>
            <w:noProof/>
            <w:webHidden/>
          </w:rPr>
          <w:instrText xml:space="preserve"> PAGEREF _Toc370291972 \h </w:instrText>
        </w:r>
        <w:r>
          <w:rPr>
            <w:noProof/>
            <w:webHidden/>
          </w:rPr>
        </w:r>
        <w:r>
          <w:rPr>
            <w:noProof/>
            <w:webHidden/>
          </w:rPr>
          <w:fldChar w:fldCharType="separate"/>
        </w:r>
        <w:r>
          <w:rPr>
            <w:noProof/>
            <w:webHidden/>
          </w:rPr>
          <w:t>9</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3" w:history="1">
        <w:r w:rsidRPr="00F72520">
          <w:rPr>
            <w:rStyle w:val="Hyperlink"/>
            <w:noProof/>
          </w:rPr>
          <w:t>2013</w:t>
        </w:r>
        <w:r>
          <w:rPr>
            <w:noProof/>
            <w:webHidden/>
          </w:rPr>
          <w:tab/>
        </w:r>
        <w:r>
          <w:rPr>
            <w:noProof/>
            <w:webHidden/>
          </w:rPr>
          <w:fldChar w:fldCharType="begin"/>
        </w:r>
        <w:r>
          <w:rPr>
            <w:noProof/>
            <w:webHidden/>
          </w:rPr>
          <w:instrText xml:space="preserve"> PAGEREF _Toc370291973 \h </w:instrText>
        </w:r>
        <w:r>
          <w:rPr>
            <w:noProof/>
            <w:webHidden/>
          </w:rPr>
        </w:r>
        <w:r>
          <w:rPr>
            <w:noProof/>
            <w:webHidden/>
          </w:rPr>
          <w:fldChar w:fldCharType="separate"/>
        </w:r>
        <w:r>
          <w:rPr>
            <w:noProof/>
            <w:webHidden/>
          </w:rPr>
          <w:t>9</w:t>
        </w:r>
        <w:r>
          <w:rPr>
            <w:noProof/>
            <w:webHidden/>
          </w:rPr>
          <w:fldChar w:fldCharType="end"/>
        </w:r>
      </w:hyperlink>
    </w:p>
    <w:p w:rsidR="00962360" w:rsidRDefault="00962360">
      <w:pPr>
        <w:pStyle w:val="Inhopg1"/>
        <w:tabs>
          <w:tab w:val="right" w:leader="dot" w:pos="9062"/>
        </w:tabs>
        <w:rPr>
          <w:rFonts w:asciiTheme="minorHAnsi" w:eastAsiaTheme="minorEastAsia" w:hAnsiTheme="minorHAnsi" w:cstheme="minorBidi"/>
          <w:noProof/>
          <w:sz w:val="22"/>
          <w:szCs w:val="22"/>
        </w:rPr>
      </w:pPr>
      <w:hyperlink w:anchor="_Toc370291974" w:history="1">
        <w:r w:rsidRPr="00F72520">
          <w:rPr>
            <w:rStyle w:val="Hyperlink"/>
            <w:noProof/>
          </w:rPr>
          <w:t>Tekst  art. 4</w:t>
        </w:r>
        <w:r>
          <w:rPr>
            <w:noProof/>
            <w:webHidden/>
          </w:rPr>
          <w:tab/>
        </w:r>
        <w:r>
          <w:rPr>
            <w:noProof/>
            <w:webHidden/>
          </w:rPr>
          <w:fldChar w:fldCharType="begin"/>
        </w:r>
        <w:r>
          <w:rPr>
            <w:noProof/>
            <w:webHidden/>
          </w:rPr>
          <w:instrText xml:space="preserve"> PAGEREF _Toc370291974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5" w:history="1">
        <w:r w:rsidRPr="00F72520">
          <w:rPr>
            <w:rStyle w:val="Hyperlink"/>
            <w:noProof/>
          </w:rPr>
          <w:t>1998</w:t>
        </w:r>
        <w:r>
          <w:rPr>
            <w:noProof/>
            <w:webHidden/>
          </w:rPr>
          <w:tab/>
        </w:r>
        <w:r>
          <w:rPr>
            <w:noProof/>
            <w:webHidden/>
          </w:rPr>
          <w:fldChar w:fldCharType="begin"/>
        </w:r>
        <w:r>
          <w:rPr>
            <w:noProof/>
            <w:webHidden/>
          </w:rPr>
          <w:instrText xml:space="preserve"> PAGEREF _Toc370291975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6" w:history="1">
        <w:r w:rsidRPr="00F72520">
          <w:rPr>
            <w:rStyle w:val="Hyperlink"/>
            <w:noProof/>
          </w:rPr>
          <w:t>2001</w:t>
        </w:r>
        <w:r>
          <w:rPr>
            <w:noProof/>
            <w:webHidden/>
          </w:rPr>
          <w:tab/>
        </w:r>
        <w:r>
          <w:rPr>
            <w:noProof/>
            <w:webHidden/>
          </w:rPr>
          <w:fldChar w:fldCharType="begin"/>
        </w:r>
        <w:r>
          <w:rPr>
            <w:noProof/>
            <w:webHidden/>
          </w:rPr>
          <w:instrText xml:space="preserve"> PAGEREF _Toc370291976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7" w:history="1">
        <w:r w:rsidRPr="00F72520">
          <w:rPr>
            <w:rStyle w:val="Hyperlink"/>
            <w:noProof/>
          </w:rPr>
          <w:t>2004</w:t>
        </w:r>
        <w:r>
          <w:rPr>
            <w:noProof/>
            <w:webHidden/>
          </w:rPr>
          <w:tab/>
        </w:r>
        <w:r>
          <w:rPr>
            <w:noProof/>
            <w:webHidden/>
          </w:rPr>
          <w:fldChar w:fldCharType="begin"/>
        </w:r>
        <w:r>
          <w:rPr>
            <w:noProof/>
            <w:webHidden/>
          </w:rPr>
          <w:instrText xml:space="preserve"> PAGEREF _Toc370291977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8" w:history="1">
        <w:r w:rsidRPr="00F72520">
          <w:rPr>
            <w:rStyle w:val="Hyperlink"/>
            <w:noProof/>
          </w:rPr>
          <w:t>2008</w:t>
        </w:r>
        <w:r>
          <w:rPr>
            <w:noProof/>
            <w:webHidden/>
          </w:rPr>
          <w:tab/>
        </w:r>
        <w:r>
          <w:rPr>
            <w:noProof/>
            <w:webHidden/>
          </w:rPr>
          <w:fldChar w:fldCharType="begin"/>
        </w:r>
        <w:r>
          <w:rPr>
            <w:noProof/>
            <w:webHidden/>
          </w:rPr>
          <w:instrText xml:space="preserve"> PAGEREF _Toc370291978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79" w:history="1">
        <w:r w:rsidRPr="00F72520">
          <w:rPr>
            <w:rStyle w:val="Hyperlink"/>
            <w:noProof/>
          </w:rPr>
          <w:t>2011</w:t>
        </w:r>
        <w:r>
          <w:rPr>
            <w:noProof/>
            <w:webHidden/>
          </w:rPr>
          <w:tab/>
        </w:r>
        <w:r>
          <w:rPr>
            <w:noProof/>
            <w:webHidden/>
          </w:rPr>
          <w:fldChar w:fldCharType="begin"/>
        </w:r>
        <w:r>
          <w:rPr>
            <w:noProof/>
            <w:webHidden/>
          </w:rPr>
          <w:instrText xml:space="preserve"> PAGEREF _Toc370291979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0" w:history="1">
        <w:r w:rsidRPr="00F72520">
          <w:rPr>
            <w:rStyle w:val="Hyperlink"/>
            <w:noProof/>
          </w:rPr>
          <w:t>2013</w:t>
        </w:r>
        <w:r>
          <w:rPr>
            <w:noProof/>
            <w:webHidden/>
          </w:rPr>
          <w:tab/>
        </w:r>
        <w:r>
          <w:rPr>
            <w:noProof/>
            <w:webHidden/>
          </w:rPr>
          <w:fldChar w:fldCharType="begin"/>
        </w:r>
        <w:r>
          <w:rPr>
            <w:noProof/>
            <w:webHidden/>
          </w:rPr>
          <w:instrText xml:space="preserve"> PAGEREF _Toc370291980 \h </w:instrText>
        </w:r>
        <w:r>
          <w:rPr>
            <w:noProof/>
            <w:webHidden/>
          </w:rPr>
        </w:r>
        <w:r>
          <w:rPr>
            <w:noProof/>
            <w:webHidden/>
          </w:rPr>
          <w:fldChar w:fldCharType="separate"/>
        </w:r>
        <w:r>
          <w:rPr>
            <w:noProof/>
            <w:webHidden/>
          </w:rPr>
          <w:t>10</w:t>
        </w:r>
        <w:r>
          <w:rPr>
            <w:noProof/>
            <w:webHidden/>
          </w:rPr>
          <w:fldChar w:fldCharType="end"/>
        </w:r>
      </w:hyperlink>
    </w:p>
    <w:p w:rsidR="00962360" w:rsidRDefault="00962360">
      <w:pPr>
        <w:pStyle w:val="Inhopg1"/>
        <w:tabs>
          <w:tab w:val="right" w:leader="dot" w:pos="9062"/>
        </w:tabs>
        <w:rPr>
          <w:rFonts w:asciiTheme="minorHAnsi" w:eastAsiaTheme="minorEastAsia" w:hAnsiTheme="minorHAnsi" w:cstheme="minorBidi"/>
          <w:noProof/>
          <w:sz w:val="22"/>
          <w:szCs w:val="22"/>
        </w:rPr>
      </w:pPr>
      <w:hyperlink w:anchor="_Toc370291981" w:history="1">
        <w:r w:rsidRPr="00F72520">
          <w:rPr>
            <w:rStyle w:val="Hyperlink"/>
            <w:noProof/>
          </w:rPr>
          <w:t>Toelichtin</w:t>
        </w:r>
        <w:r w:rsidRPr="00F72520">
          <w:rPr>
            <w:rStyle w:val="Hyperlink"/>
            <w:noProof/>
          </w:rPr>
          <w:t>g</w:t>
        </w:r>
        <w:r w:rsidRPr="00F72520">
          <w:rPr>
            <w:rStyle w:val="Hyperlink"/>
            <w:noProof/>
          </w:rPr>
          <w:t xml:space="preserve"> art. 4</w:t>
        </w:r>
        <w:r>
          <w:rPr>
            <w:noProof/>
            <w:webHidden/>
          </w:rPr>
          <w:tab/>
        </w:r>
        <w:r>
          <w:rPr>
            <w:noProof/>
            <w:webHidden/>
          </w:rPr>
          <w:fldChar w:fldCharType="begin"/>
        </w:r>
        <w:r>
          <w:rPr>
            <w:noProof/>
            <w:webHidden/>
          </w:rPr>
          <w:instrText xml:space="preserve"> PAGEREF _Toc370291981 \h </w:instrText>
        </w:r>
        <w:r>
          <w:rPr>
            <w:noProof/>
            <w:webHidden/>
          </w:rPr>
        </w:r>
        <w:r>
          <w:rPr>
            <w:noProof/>
            <w:webHidden/>
          </w:rPr>
          <w:fldChar w:fldCharType="separate"/>
        </w:r>
        <w:r>
          <w:rPr>
            <w:noProof/>
            <w:webHidden/>
          </w:rPr>
          <w:t>11</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2" w:history="1">
        <w:r w:rsidRPr="00F72520">
          <w:rPr>
            <w:rStyle w:val="Hyperlink"/>
            <w:noProof/>
          </w:rPr>
          <w:t>1998</w:t>
        </w:r>
        <w:r>
          <w:rPr>
            <w:noProof/>
            <w:webHidden/>
          </w:rPr>
          <w:tab/>
        </w:r>
        <w:r>
          <w:rPr>
            <w:noProof/>
            <w:webHidden/>
          </w:rPr>
          <w:fldChar w:fldCharType="begin"/>
        </w:r>
        <w:r>
          <w:rPr>
            <w:noProof/>
            <w:webHidden/>
          </w:rPr>
          <w:instrText xml:space="preserve"> PAGEREF _Toc370291982 \h </w:instrText>
        </w:r>
        <w:r>
          <w:rPr>
            <w:noProof/>
            <w:webHidden/>
          </w:rPr>
        </w:r>
        <w:r>
          <w:rPr>
            <w:noProof/>
            <w:webHidden/>
          </w:rPr>
          <w:fldChar w:fldCharType="separate"/>
        </w:r>
        <w:r>
          <w:rPr>
            <w:noProof/>
            <w:webHidden/>
          </w:rPr>
          <w:t>11</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3" w:history="1">
        <w:r w:rsidRPr="00F72520">
          <w:rPr>
            <w:rStyle w:val="Hyperlink"/>
            <w:noProof/>
          </w:rPr>
          <w:t>2001</w:t>
        </w:r>
        <w:r>
          <w:rPr>
            <w:noProof/>
            <w:webHidden/>
          </w:rPr>
          <w:tab/>
        </w:r>
        <w:r>
          <w:rPr>
            <w:noProof/>
            <w:webHidden/>
          </w:rPr>
          <w:fldChar w:fldCharType="begin"/>
        </w:r>
        <w:r>
          <w:rPr>
            <w:noProof/>
            <w:webHidden/>
          </w:rPr>
          <w:instrText xml:space="preserve"> PAGEREF _Toc370291983 \h </w:instrText>
        </w:r>
        <w:r>
          <w:rPr>
            <w:noProof/>
            <w:webHidden/>
          </w:rPr>
        </w:r>
        <w:r>
          <w:rPr>
            <w:noProof/>
            <w:webHidden/>
          </w:rPr>
          <w:fldChar w:fldCharType="separate"/>
        </w:r>
        <w:r>
          <w:rPr>
            <w:noProof/>
            <w:webHidden/>
          </w:rPr>
          <w:t>11</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4" w:history="1">
        <w:r w:rsidRPr="00F72520">
          <w:rPr>
            <w:rStyle w:val="Hyperlink"/>
            <w:noProof/>
          </w:rPr>
          <w:t>2004</w:t>
        </w:r>
        <w:r>
          <w:rPr>
            <w:noProof/>
            <w:webHidden/>
          </w:rPr>
          <w:tab/>
        </w:r>
        <w:r>
          <w:rPr>
            <w:noProof/>
            <w:webHidden/>
          </w:rPr>
          <w:fldChar w:fldCharType="begin"/>
        </w:r>
        <w:r>
          <w:rPr>
            <w:noProof/>
            <w:webHidden/>
          </w:rPr>
          <w:instrText xml:space="preserve"> PAGEREF _Toc370291984 \h </w:instrText>
        </w:r>
        <w:r>
          <w:rPr>
            <w:noProof/>
            <w:webHidden/>
          </w:rPr>
        </w:r>
        <w:r>
          <w:rPr>
            <w:noProof/>
            <w:webHidden/>
          </w:rPr>
          <w:fldChar w:fldCharType="separate"/>
        </w:r>
        <w:r>
          <w:rPr>
            <w:noProof/>
            <w:webHidden/>
          </w:rPr>
          <w:t>11</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5" w:history="1">
        <w:r w:rsidRPr="00F72520">
          <w:rPr>
            <w:rStyle w:val="Hyperlink"/>
            <w:noProof/>
          </w:rPr>
          <w:t>2011</w:t>
        </w:r>
        <w:r>
          <w:rPr>
            <w:noProof/>
            <w:webHidden/>
          </w:rPr>
          <w:tab/>
        </w:r>
        <w:r>
          <w:rPr>
            <w:noProof/>
            <w:webHidden/>
          </w:rPr>
          <w:fldChar w:fldCharType="begin"/>
        </w:r>
        <w:r>
          <w:rPr>
            <w:noProof/>
            <w:webHidden/>
          </w:rPr>
          <w:instrText xml:space="preserve"> PAGEREF _Toc370291985 \h </w:instrText>
        </w:r>
        <w:r>
          <w:rPr>
            <w:noProof/>
            <w:webHidden/>
          </w:rPr>
        </w:r>
        <w:r>
          <w:rPr>
            <w:noProof/>
            <w:webHidden/>
          </w:rPr>
          <w:fldChar w:fldCharType="separate"/>
        </w:r>
        <w:r>
          <w:rPr>
            <w:noProof/>
            <w:webHidden/>
          </w:rPr>
          <w:t>11</w:t>
        </w:r>
        <w:r>
          <w:rPr>
            <w:noProof/>
            <w:webHidden/>
          </w:rPr>
          <w:fldChar w:fldCharType="end"/>
        </w:r>
      </w:hyperlink>
    </w:p>
    <w:p w:rsidR="00962360" w:rsidRDefault="00962360">
      <w:pPr>
        <w:pStyle w:val="Inhopg2"/>
        <w:tabs>
          <w:tab w:val="right" w:leader="dot" w:pos="9062"/>
        </w:tabs>
        <w:rPr>
          <w:rFonts w:asciiTheme="minorHAnsi" w:eastAsiaTheme="minorEastAsia" w:hAnsiTheme="minorHAnsi" w:cstheme="minorBidi"/>
          <w:noProof/>
          <w:sz w:val="22"/>
          <w:szCs w:val="22"/>
        </w:rPr>
      </w:pPr>
      <w:hyperlink w:anchor="_Toc370291986" w:history="1">
        <w:r w:rsidRPr="00F72520">
          <w:rPr>
            <w:rStyle w:val="Hyperlink"/>
            <w:noProof/>
          </w:rPr>
          <w:t>2013</w:t>
        </w:r>
        <w:r>
          <w:rPr>
            <w:noProof/>
            <w:webHidden/>
          </w:rPr>
          <w:tab/>
        </w:r>
        <w:r>
          <w:rPr>
            <w:noProof/>
            <w:webHidden/>
          </w:rPr>
          <w:fldChar w:fldCharType="begin"/>
        </w:r>
        <w:r>
          <w:rPr>
            <w:noProof/>
            <w:webHidden/>
          </w:rPr>
          <w:instrText xml:space="preserve"> PAGEREF _Toc370291986 \h </w:instrText>
        </w:r>
        <w:r>
          <w:rPr>
            <w:noProof/>
            <w:webHidden/>
          </w:rPr>
        </w:r>
        <w:r>
          <w:rPr>
            <w:noProof/>
            <w:webHidden/>
          </w:rPr>
          <w:fldChar w:fldCharType="separate"/>
        </w:r>
        <w:r>
          <w:rPr>
            <w:noProof/>
            <w:webHidden/>
          </w:rPr>
          <w:t>12</w:t>
        </w:r>
        <w:r>
          <w:rPr>
            <w:noProof/>
            <w:webHidden/>
          </w:rPr>
          <w:fldChar w:fldCharType="end"/>
        </w:r>
      </w:hyperlink>
    </w:p>
    <w:p w:rsidR="00287208" w:rsidRPr="00287208" w:rsidRDefault="00F11533" w:rsidP="00287208">
      <w:pPr>
        <w:rPr>
          <w:b/>
        </w:rPr>
      </w:pPr>
      <w:r>
        <w:rPr>
          <w:b/>
        </w:rPr>
        <w:fldChar w:fldCharType="end"/>
      </w:r>
    </w:p>
    <w:p w:rsidR="00916A8C" w:rsidRDefault="00F11533" w:rsidP="006C42D0">
      <w:pPr>
        <w:pStyle w:val="Kop1"/>
      </w:pPr>
      <w:bookmarkStart w:id="0" w:name="_Toc370291954"/>
      <w:r>
        <w:lastRenderedPageBreak/>
        <w:t>C</w:t>
      </w:r>
      <w:r w:rsidR="006C42D0">
        <w:t>onvenant en toelichting</w:t>
      </w:r>
      <w:r>
        <w:t xml:space="preserve"> geheel, art. 3 en 4</w:t>
      </w:r>
      <w:bookmarkEnd w:id="0"/>
    </w:p>
    <w:p w:rsidR="00916A8C" w:rsidRDefault="00916A8C" w:rsidP="00916A8C">
      <w:pPr>
        <w:pStyle w:val="Kop2"/>
      </w:pPr>
      <w:bookmarkStart w:id="1" w:name="_Toc370291955"/>
      <w:r>
        <w:t>1998</w:t>
      </w:r>
      <w:bookmarkEnd w:id="1"/>
    </w:p>
    <w:p w:rsidR="00916A8C" w:rsidRDefault="00916A8C" w:rsidP="00916A8C">
      <w:pPr>
        <w:pStyle w:val="Kop4"/>
      </w:pPr>
      <w:r>
        <w:t>Artikel 4</w:t>
      </w:r>
    </w:p>
    <w:p w:rsidR="00916A8C" w:rsidRDefault="00916A8C" w:rsidP="00916A8C">
      <w:r>
        <w:t xml:space="preserve"> </w:t>
      </w:r>
    </w:p>
    <w:p w:rsidR="00916A8C" w:rsidRDefault="00916A8C" w:rsidP="00916A8C">
      <w:r>
        <w:t>1. Partijen mogen geschilpunten ten aanzien van schuld, toerekening, verjaring of andere verweren aanvoeren, behalve ten aanzien van de medische causaliteit zoals in lid 2 is verwoord.</w:t>
      </w:r>
    </w:p>
    <w:p w:rsidR="00916A8C" w:rsidRDefault="00916A8C" w:rsidP="00916A8C">
      <w:r>
        <w:t xml:space="preserve"> </w:t>
      </w:r>
    </w:p>
    <w:p w:rsidR="00916A8C" w:rsidRDefault="00916A8C" w:rsidP="00916A8C">
      <w:r>
        <w:t xml:space="preserve">2. Verzekeraars zullen er zich niet op beroepen dat de arbeidsongeschiktheid op basis waarvan de uitkeringsgerechtigde de ZW </w:t>
      </w:r>
      <w:proofErr w:type="spellStart"/>
      <w:r>
        <w:t>danwel</w:t>
      </w:r>
      <w:proofErr w:type="spellEnd"/>
      <w:r>
        <w:t xml:space="preserve"> de WAO uitkering heeft ontvangen, geheel of gedeeltelijk haar oorzaak vindt in een al dan niet latent aanwezige ziekte of aandoening die reeds bestond vóór de gebeurtenis die leidde tot de regresvordering, tenzij het medisch gezien duidelijk is dat de tot de WAO uitkering aanleiding gevende ziekte of aandoening niet door het ongeval veroorzaakt kan zijn.</w:t>
      </w:r>
    </w:p>
    <w:p w:rsidR="00916A8C" w:rsidRDefault="00916A8C" w:rsidP="00916A8C">
      <w:r>
        <w:t xml:space="preserve"> </w:t>
      </w:r>
    </w:p>
    <w:p w:rsidR="00916A8C" w:rsidRDefault="00916A8C" w:rsidP="00916A8C">
      <w:r>
        <w:t>3. Indien de uitkeringsgerechtigde binnen een periode van 52 weken vóór de gebeurtenis die leidde tot de regresvordering, gedurende tenminste een aaneengesloten periode van vier weken wegens de in lid 2 genoemde ziekte of aandoening arbeidsongeschikt is geweest, wordt aan de in lid 2 bedoelde gebeurtenis alleen de toename van de arbeidsongeschiktheid toegeschreven.</w:t>
      </w:r>
    </w:p>
    <w:p w:rsidR="00916A8C" w:rsidRDefault="00916A8C" w:rsidP="00916A8C">
      <w:r>
        <w:t xml:space="preserve"> </w:t>
      </w:r>
    </w:p>
    <w:p w:rsidR="00916A8C" w:rsidRDefault="00916A8C" w:rsidP="00916A8C">
      <w:pPr>
        <w:pStyle w:val="Kop4"/>
      </w:pPr>
      <w:r>
        <w:t>Artikel 5</w:t>
      </w:r>
    </w:p>
    <w:p w:rsidR="00916A8C" w:rsidRDefault="00916A8C" w:rsidP="00916A8C">
      <w:r>
        <w:t xml:space="preserve"> </w:t>
      </w:r>
    </w:p>
    <w:p w:rsidR="00916A8C" w:rsidRDefault="00916A8C" w:rsidP="00916A8C">
      <w:r>
        <w:t>1. Tijdens de looptijd van het convenant wordt door partijen geen beroep gedaan op rechterlijke uitspraken waarin is beslist over het civiele plafond, de bruto netto problematiek en/of vragen van medische causaliteit. Procedures die aanhangig zijn daarover, zullen worden beëindigd met compensatie van kosten.</w:t>
      </w:r>
    </w:p>
    <w:p w:rsidR="00916A8C" w:rsidRDefault="00916A8C" w:rsidP="00916A8C">
      <w:r>
        <w:t xml:space="preserve"> </w:t>
      </w:r>
    </w:p>
    <w:p w:rsidR="00916A8C" w:rsidRDefault="00916A8C" w:rsidP="00916A8C">
      <w:r>
        <w:t>2. Partijen die deelnemen aan het convenant doe</w:t>
      </w:r>
      <w:r w:rsidR="00B7490B">
        <w:t>n</w:t>
      </w:r>
      <w:r>
        <w:t xml:space="preserve"> voor de duur van het convenant jegens elkaar geen beroep op rechterlijke uitspraken over de in lid 1 bedoelde vraagstukken, waarin partijen betrokken zijn die het convenant niet hebben getekend.</w:t>
      </w:r>
    </w:p>
    <w:p w:rsidR="00916A8C" w:rsidRDefault="00916A8C" w:rsidP="00916A8C"/>
    <w:p w:rsidR="00916A8C" w:rsidRDefault="00916A8C" w:rsidP="00916A8C">
      <w:pPr>
        <w:pStyle w:val="Kop3"/>
      </w:pPr>
      <w:r>
        <w:t>Toelichting</w:t>
      </w:r>
    </w:p>
    <w:p w:rsidR="00916A8C" w:rsidRDefault="00916A8C" w:rsidP="00916A8C">
      <w:pPr>
        <w:pStyle w:val="Kop4"/>
      </w:pPr>
      <w:r>
        <w:t>Artikel 4</w:t>
      </w:r>
    </w:p>
    <w:p w:rsidR="00916A8C" w:rsidRDefault="00916A8C" w:rsidP="00916A8C">
      <w:r>
        <w:t xml:space="preserve"> </w:t>
      </w:r>
    </w:p>
    <w:p w:rsidR="00916A8C" w:rsidRDefault="00916A8C" w:rsidP="00916A8C">
      <w:r>
        <w:t>lid 1</w:t>
      </w:r>
    </w:p>
    <w:p w:rsidR="00916A8C" w:rsidRDefault="00916A8C" w:rsidP="00916A8C">
      <w:r>
        <w:t xml:space="preserve"> </w:t>
      </w:r>
    </w:p>
    <w:p w:rsidR="00916A8C" w:rsidRDefault="00916A8C" w:rsidP="00916A8C">
      <w:r>
        <w:t>Partijen mogen geschilpunten ten aanzien van schuld, toerekening, verjaring of andere verweren aanvoeren. Ten aanzien van medische causaliteit zijn de mogelijkheden om weren aan te voeren beperkt. Hierbij wordt verwezen naar hetgeen hieromtrent in lid 2 is opgenomen. lid 2 en 3</w:t>
      </w:r>
    </w:p>
    <w:p w:rsidR="00916A8C" w:rsidRDefault="00916A8C" w:rsidP="00916A8C">
      <w:r>
        <w:t xml:space="preserve"> </w:t>
      </w:r>
    </w:p>
    <w:p w:rsidR="00916A8C" w:rsidRDefault="00916A8C" w:rsidP="00916A8C">
      <w:r>
        <w:t xml:space="preserve">Partijen hebben afgesproken dat verzekeraars geen beroep meer toekomt op de zgn. medische causaliteit. Met andere woorden: verzekeraars kunnen zich er niet meer op beroepen dat de arbeidsongeschiktheid (mede) een andere oorzaak heeft dan het ongeval. In drie situaties is beroep op de, medische causaliteit echter nog </w:t>
      </w:r>
      <w:proofErr w:type="spellStart"/>
      <w:r>
        <w:t>wèl</w:t>
      </w:r>
      <w:proofErr w:type="spellEnd"/>
      <w:r>
        <w:t xml:space="preserve"> mogelijk:</w:t>
      </w:r>
    </w:p>
    <w:p w:rsidR="00916A8C" w:rsidRDefault="00916A8C" w:rsidP="00916A8C">
      <w:r>
        <w:t xml:space="preserve"> </w:t>
      </w:r>
    </w:p>
    <w:p w:rsidR="00916A8C" w:rsidRDefault="00916A8C" w:rsidP="00916A8C">
      <w:pPr>
        <w:pStyle w:val="Lijstalinea"/>
        <w:numPr>
          <w:ilvl w:val="0"/>
          <w:numId w:val="1"/>
        </w:numPr>
        <w:ind w:left="567" w:hanging="283"/>
      </w:pPr>
      <w:r>
        <w:t>wanneer het medisch gezien duidelijk is dat de tot de WAO uitkering leidende ziekte</w:t>
      </w:r>
    </w:p>
    <w:p w:rsidR="00916A8C" w:rsidRDefault="00916A8C" w:rsidP="00916A8C">
      <w:pPr>
        <w:ind w:left="567" w:hanging="283"/>
      </w:pPr>
      <w:r>
        <w:t>of aandoening niet door het ongeval kan zijn veroorzaakt;</w:t>
      </w:r>
    </w:p>
    <w:p w:rsidR="00916A8C" w:rsidRDefault="00916A8C" w:rsidP="00916A8C">
      <w:pPr>
        <w:ind w:left="567" w:hanging="283"/>
      </w:pPr>
      <w:r>
        <w:t xml:space="preserve"> </w:t>
      </w:r>
    </w:p>
    <w:p w:rsidR="00916A8C" w:rsidRDefault="00916A8C" w:rsidP="00916A8C">
      <w:pPr>
        <w:ind w:left="567" w:hanging="283"/>
      </w:pPr>
      <w:r>
        <w:t>b) wanneer zich na het ongeval een ziekte of aandoening openbaart, waarvan het</w:t>
      </w:r>
    </w:p>
    <w:p w:rsidR="00916A8C" w:rsidRDefault="00916A8C" w:rsidP="00916A8C">
      <w:pPr>
        <w:ind w:left="567" w:hanging="283"/>
      </w:pPr>
      <w:r>
        <w:t>duidelijk is dat deze ook zonder het ongeval tot arbeidsongeschiktheid zou hebben</w:t>
      </w:r>
    </w:p>
    <w:p w:rsidR="00916A8C" w:rsidRDefault="00916A8C" w:rsidP="00916A8C">
      <w:pPr>
        <w:ind w:left="567" w:hanging="283"/>
      </w:pPr>
      <w:r>
        <w:t>geleid; en</w:t>
      </w:r>
    </w:p>
    <w:p w:rsidR="00916A8C" w:rsidRDefault="00916A8C" w:rsidP="00916A8C">
      <w:pPr>
        <w:ind w:left="567" w:hanging="283"/>
      </w:pPr>
      <w:r>
        <w:t xml:space="preserve"> </w:t>
      </w:r>
    </w:p>
    <w:p w:rsidR="00916A8C" w:rsidRDefault="00916A8C" w:rsidP="00916A8C">
      <w:pPr>
        <w:ind w:left="567" w:hanging="283"/>
      </w:pPr>
      <w:r>
        <w:t xml:space="preserve">c) wanneer het slachtoffer in het jaar voorafgaande aan het ongeval tenminste vier weken arbeidsongeschikt (i.c. dus ziek thuis) is geweest ten gevolge van een ziekte of aandoening die volgens de verzekeraar in verband staat met de arbeidsongeschiktheid na het ongeval. In dat geval komt alleen de (eventuele) toename van deze arbeidsongeschiktheid door het ongeval voor verhaal in aanmerking. Hetzelfde geldt a fortiori voor slachtoffers die ten tijde van de tot de </w:t>
      </w:r>
      <w:r>
        <w:lastRenderedPageBreak/>
        <w:t>arbeidsongeschiktheid leidende gebeurtenis reeds over een gedeeltelijke arbeidsongeschiktheiduitkering beschikten.</w:t>
      </w:r>
    </w:p>
    <w:p w:rsidR="00916A8C" w:rsidRDefault="00916A8C" w:rsidP="00916A8C"/>
    <w:p w:rsidR="00916A8C" w:rsidRDefault="00916A8C" w:rsidP="00916A8C">
      <w:r>
        <w:t>De volgende praktijkvoorbeelden kunnen één en ander verduidelijken:</w:t>
      </w:r>
    </w:p>
    <w:p w:rsidR="00916A8C" w:rsidRDefault="00916A8C" w:rsidP="00916A8C">
      <w:r>
        <w:t xml:space="preserve"> </w:t>
      </w:r>
    </w:p>
    <w:p w:rsidR="00916A8C" w:rsidRDefault="00916A8C" w:rsidP="00916A8C">
      <w:r>
        <w:t>1. Een slachtoffer loopt bij een ongeval een gebroken arm op. Het herstel verloopt</w:t>
      </w:r>
    </w:p>
    <w:p w:rsidR="00916A8C" w:rsidRDefault="00916A8C" w:rsidP="00916A8C">
      <w:r>
        <w:t>goed. Uiteindelijk raakt hij toch in de WAO door hartproblemen die, na later bleek,</w:t>
      </w:r>
    </w:p>
    <w:p w:rsidR="00916A8C" w:rsidRDefault="00916A8C" w:rsidP="00916A8C">
      <w:r>
        <w:t>ook al vóór het ongeval latent aanwezig waren.</w:t>
      </w:r>
    </w:p>
    <w:p w:rsidR="00916A8C" w:rsidRDefault="00916A8C" w:rsidP="00916A8C">
      <w:r>
        <w:t>Hier is een beroep op de medische causaliteit mogelijk, waarschijnlijk uitkomende</w:t>
      </w:r>
    </w:p>
    <w:p w:rsidR="00916A8C" w:rsidRDefault="00916A8C" w:rsidP="00916A8C">
      <w:r>
        <w:t xml:space="preserve"> op het ontbreken van een dergelijke causaliteit.</w:t>
      </w:r>
    </w:p>
    <w:p w:rsidR="00916A8C" w:rsidRDefault="00916A8C" w:rsidP="00916A8C">
      <w:r>
        <w:t xml:space="preserve"> </w:t>
      </w:r>
    </w:p>
    <w:p w:rsidR="00916A8C" w:rsidRDefault="00916A8C" w:rsidP="00916A8C">
      <w:r>
        <w:t>2. Een slachtoffer wordt van achteren aangereden en loopt nekklachten op. Hij raakt</w:t>
      </w:r>
    </w:p>
    <w:p w:rsidR="00916A8C" w:rsidRDefault="00916A8C" w:rsidP="00916A8C">
      <w:r>
        <w:t>volledig arbeidsongeschikt. Achteraf blijkt dat er vóór het ongeval reeds allerlei</w:t>
      </w:r>
    </w:p>
    <w:p w:rsidR="00916A8C" w:rsidRDefault="00916A8C" w:rsidP="00916A8C">
      <w:r>
        <w:t>psychische problemen waren. Het ongeval was de bekende druppel.</w:t>
      </w:r>
    </w:p>
    <w:p w:rsidR="00916A8C" w:rsidRDefault="00916A8C" w:rsidP="00916A8C">
      <w:r>
        <w:t>Hier is geen beroep mogelijk op de medische causaliteit, zodat de WAO uitkering</w:t>
      </w:r>
    </w:p>
    <w:p w:rsidR="00916A8C" w:rsidRDefault="00916A8C" w:rsidP="00916A8C">
      <w:r>
        <w:t xml:space="preserve"> volledig verhaalbaar is.</w:t>
      </w:r>
    </w:p>
    <w:p w:rsidR="00916A8C" w:rsidRDefault="00916A8C" w:rsidP="00916A8C">
      <w:r>
        <w:t xml:space="preserve"> </w:t>
      </w:r>
    </w:p>
    <w:p w:rsidR="00916A8C" w:rsidRDefault="00916A8C" w:rsidP="00916A8C">
      <w:r>
        <w:t xml:space="preserve">3. Zie 2. Hij was nu echter </w:t>
      </w:r>
      <w:proofErr w:type="spellStart"/>
      <w:r>
        <w:t>wèl</w:t>
      </w:r>
      <w:proofErr w:type="spellEnd"/>
      <w:r>
        <w:t xml:space="preserve"> een half jaar voor het ongeval 6 weken ziek thuis</w:t>
      </w:r>
    </w:p>
    <w:p w:rsidR="00916A8C" w:rsidRDefault="00916A8C" w:rsidP="00916A8C">
      <w:r>
        <w:t>geweest wegens overspannenheid.</w:t>
      </w:r>
    </w:p>
    <w:p w:rsidR="00916A8C" w:rsidRDefault="00916A8C" w:rsidP="00916A8C">
      <w:r>
        <w:t xml:space="preserve">Hier is nog </w:t>
      </w:r>
      <w:proofErr w:type="spellStart"/>
      <w:r>
        <w:t>wèl</w:t>
      </w:r>
      <w:proofErr w:type="spellEnd"/>
      <w:r>
        <w:t xml:space="preserve"> een beroep mogelijk op de medische causaliteit, zodat alleen de</w:t>
      </w:r>
    </w:p>
    <w:p w:rsidR="00916A8C" w:rsidRDefault="00916A8C" w:rsidP="00916A8C">
      <w:r>
        <w:t>verergering door het ongeval voor verhaal in aanmerking komt.</w:t>
      </w:r>
    </w:p>
    <w:p w:rsidR="00916A8C" w:rsidRDefault="00916A8C" w:rsidP="00916A8C"/>
    <w:p w:rsidR="00916A8C" w:rsidRDefault="00916A8C" w:rsidP="00916A8C">
      <w:pPr>
        <w:pStyle w:val="Kop4"/>
      </w:pPr>
      <w:r>
        <w:t>Artikel 5</w:t>
      </w:r>
    </w:p>
    <w:p w:rsidR="00916A8C" w:rsidRDefault="00916A8C" w:rsidP="00916A8C">
      <w:r>
        <w:t xml:space="preserve"> </w:t>
      </w:r>
    </w:p>
    <w:p w:rsidR="00916A8C" w:rsidRDefault="00916A8C" w:rsidP="00916A8C">
      <w:r>
        <w:t>lid 1</w:t>
      </w:r>
    </w:p>
    <w:p w:rsidR="00916A8C" w:rsidRDefault="00916A8C" w:rsidP="00916A8C">
      <w:r>
        <w:t xml:space="preserve"> </w:t>
      </w:r>
    </w:p>
    <w:p w:rsidR="00916A8C" w:rsidRDefault="00916A8C" w:rsidP="00916A8C">
      <w:r>
        <w:t xml:space="preserve">Gedurende de looptijd van het convenant zullen partijen geen beroep doen op rechterlijke uitspraken over de hoogte van het civiele plafond, de bruto netto problematiek en vragen rondom medische causaliteit mits niet vallend onder de uitzondering, die hierboven in artikel 4, lid 2 is vermeld. Lopende procedures zullen worden beëindigd met compensatie van kosten. </w:t>
      </w:r>
    </w:p>
    <w:p w:rsidR="00916A8C" w:rsidRDefault="00916A8C" w:rsidP="00916A8C"/>
    <w:p w:rsidR="00916A8C" w:rsidRDefault="00916A8C" w:rsidP="00916A8C">
      <w:r>
        <w:t>lid 2</w:t>
      </w:r>
    </w:p>
    <w:p w:rsidR="00916A8C" w:rsidRDefault="00916A8C" w:rsidP="00916A8C">
      <w:r>
        <w:t xml:space="preserve"> </w:t>
      </w:r>
    </w:p>
    <w:p w:rsidR="00916A8C" w:rsidRDefault="00916A8C" w:rsidP="00916A8C">
      <w:r>
        <w:t>Deelnemers aan het convenant verhaalsrecht WAO zullen ook geen beroep doen op rechterlijke uitspraken zoals omschreven bij lid 1 waarbij partijen betrokken zijn die niet deelnemen aan het convenant.</w:t>
      </w:r>
    </w:p>
    <w:p w:rsidR="00916A8C" w:rsidRDefault="00916A8C" w:rsidP="00916A8C"/>
    <w:p w:rsidR="00916A8C" w:rsidRDefault="00916A8C" w:rsidP="00916A8C">
      <w:pPr>
        <w:pStyle w:val="Kop2"/>
      </w:pPr>
      <w:bookmarkStart w:id="2" w:name="_Toc370291956"/>
      <w:r>
        <w:t>2001</w:t>
      </w:r>
      <w:bookmarkEnd w:id="2"/>
      <w:r>
        <w:t xml:space="preserve"> </w:t>
      </w:r>
    </w:p>
    <w:p w:rsidR="00916A8C" w:rsidRDefault="00916A8C" w:rsidP="00916A8C">
      <w:pPr>
        <w:pStyle w:val="Kop4"/>
      </w:pPr>
      <w:r>
        <w:t>Artikel 3</w:t>
      </w:r>
    </w:p>
    <w:p w:rsidR="00916A8C" w:rsidRDefault="00916A8C" w:rsidP="00916A8C">
      <w:r>
        <w:t>Partijen mogen ten aanzien van schuld c.q. toerekening, medische causaliteit en verjaring verweer voeren.</w:t>
      </w:r>
    </w:p>
    <w:p w:rsidR="00916A8C" w:rsidRDefault="00916A8C" w:rsidP="00916A8C">
      <w:r>
        <w:t xml:space="preserve">Met toepassing van de forfaitaire korting als bedoeld in artikel 2 </w:t>
      </w:r>
      <w:proofErr w:type="spellStart"/>
      <w:r>
        <w:t>juncto</w:t>
      </w:r>
      <w:proofErr w:type="spellEnd"/>
      <w:r>
        <w:t xml:space="preserve"> artikel 8 derde lid wordt de verhaalsvordering van het </w:t>
      </w:r>
      <w:proofErr w:type="spellStart"/>
      <w:r>
        <w:t>Lisv</w:t>
      </w:r>
      <w:proofErr w:type="spellEnd"/>
      <w:r>
        <w:t xml:space="preserve"> geacht met betrekking tot de omvang van de inkomensschade als gevolg van de arbeidsongeschiktheid veroorzakende gebeurtenis beneden het civiele plafond te blijven.</w:t>
      </w:r>
    </w:p>
    <w:p w:rsidR="00916A8C" w:rsidRDefault="00916A8C" w:rsidP="00916A8C"/>
    <w:p w:rsidR="00916A8C" w:rsidRDefault="00916A8C" w:rsidP="00916A8C">
      <w:pPr>
        <w:pStyle w:val="Kop4"/>
      </w:pPr>
      <w:r>
        <w:t>Artikel 4</w:t>
      </w:r>
    </w:p>
    <w:p w:rsidR="00916A8C" w:rsidRDefault="00916A8C" w:rsidP="00916A8C">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 waarbij partijen betrokken zijn die op dit convenant niet hebben ingetekend.</w:t>
      </w:r>
    </w:p>
    <w:p w:rsidR="00916A8C" w:rsidRDefault="00916A8C" w:rsidP="00916A8C"/>
    <w:p w:rsidR="00916A8C" w:rsidRDefault="00916A8C" w:rsidP="00916A8C"/>
    <w:p w:rsidR="00916A8C" w:rsidRDefault="00916A8C" w:rsidP="00916A8C">
      <w:pPr>
        <w:pStyle w:val="Kop3"/>
      </w:pPr>
      <w:r>
        <w:lastRenderedPageBreak/>
        <w:t>Toelichting</w:t>
      </w:r>
    </w:p>
    <w:p w:rsidR="00916A8C" w:rsidRDefault="00916A8C" w:rsidP="00916A8C">
      <w:pPr>
        <w:pStyle w:val="Kop4"/>
      </w:pPr>
      <w:r>
        <w:t>Artikel 3</w:t>
      </w:r>
    </w:p>
    <w:p w:rsidR="00916A8C" w:rsidRDefault="00916A8C" w:rsidP="00916A8C">
      <w:r>
        <w:t>Partijen mogen ten aanzien van schuld c.q. toerekening, medische causaliteit en verjaring verweer voeren. Met betrekking tot de informatie-uitwisseling ten behoeve van deze weren zijn partijen gehouden aan het bepaalde in artikel 7.</w:t>
      </w:r>
    </w:p>
    <w:p w:rsidR="00916A8C" w:rsidRDefault="00916A8C" w:rsidP="00916A8C"/>
    <w:p w:rsidR="00916A8C" w:rsidRDefault="00916A8C" w:rsidP="00916A8C">
      <w:pPr>
        <w:pStyle w:val="Kop4"/>
      </w:pPr>
      <w:r>
        <w:t>Artikel 4</w:t>
      </w:r>
    </w:p>
    <w:p w:rsidR="00916A8C" w:rsidRDefault="00916A8C" w:rsidP="00916A8C">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916A8C" w:rsidRDefault="00916A8C" w:rsidP="00916A8C"/>
    <w:p w:rsidR="00916A8C" w:rsidRDefault="00916A8C" w:rsidP="00916A8C"/>
    <w:p w:rsidR="00916A8C" w:rsidRDefault="00916A8C" w:rsidP="00916A8C">
      <w:pPr>
        <w:pStyle w:val="Kop2"/>
      </w:pPr>
      <w:bookmarkStart w:id="3" w:name="_Toc370291957"/>
      <w:r>
        <w:t>2004</w:t>
      </w:r>
      <w:bookmarkEnd w:id="3"/>
    </w:p>
    <w:p w:rsidR="00916A8C" w:rsidRDefault="00916A8C" w:rsidP="00916A8C">
      <w:pPr>
        <w:pStyle w:val="Kop4"/>
      </w:pPr>
      <w:r>
        <w:t>Artikel 3</w:t>
      </w:r>
    </w:p>
    <w:p w:rsidR="00916A8C" w:rsidRDefault="00916A8C" w:rsidP="00916A8C">
      <w:r>
        <w:t>Partijen mogen ten aanzien van schuld c.q. toerekening, medische causaliteit en verjaring verweer voeren.</w:t>
      </w:r>
    </w:p>
    <w:p w:rsidR="00916A8C" w:rsidRDefault="00916A8C" w:rsidP="00916A8C">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916A8C" w:rsidRDefault="00916A8C" w:rsidP="00916A8C">
      <w:pPr>
        <w:pStyle w:val="Kop4"/>
      </w:pPr>
    </w:p>
    <w:p w:rsidR="00916A8C" w:rsidRDefault="00916A8C" w:rsidP="00916A8C">
      <w:pPr>
        <w:pStyle w:val="Kop4"/>
      </w:pPr>
      <w:r>
        <w:t>Artikel 4</w:t>
      </w:r>
    </w:p>
    <w:p w:rsidR="00916A8C" w:rsidRDefault="00916A8C" w:rsidP="00916A8C">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916A8C" w:rsidRDefault="00916A8C" w:rsidP="00916A8C"/>
    <w:p w:rsidR="00916A8C" w:rsidRDefault="00916A8C" w:rsidP="00916A8C"/>
    <w:p w:rsidR="00916A8C" w:rsidRDefault="00916A8C" w:rsidP="00916A8C">
      <w:pPr>
        <w:pStyle w:val="Kop3"/>
      </w:pPr>
      <w:r>
        <w:t>Toelichting</w:t>
      </w:r>
    </w:p>
    <w:p w:rsidR="00916A8C" w:rsidRDefault="00916A8C" w:rsidP="00916A8C">
      <w:pPr>
        <w:pStyle w:val="Kop4"/>
      </w:pPr>
      <w:r>
        <w:t>Artikel 3</w:t>
      </w:r>
    </w:p>
    <w:p w:rsidR="00916A8C" w:rsidRDefault="00916A8C" w:rsidP="00916A8C">
      <w:r>
        <w:t>Partijen mogen ten aanzien van schuld c.q. toerekening, medische causaliteit en verjaring verweer voeren. Met betrekking tot de informatie-uitwisseling ten behoeve van deze weren zijn partijen gehouden aan het bepaalde in artikel 7.</w:t>
      </w:r>
    </w:p>
    <w:p w:rsidR="00916A8C" w:rsidRDefault="00916A8C" w:rsidP="00916A8C">
      <w:r>
        <w:t>De vordering, zoals deze door het UWV wordt ingediend, zal het civiel plafond niet te boven gaan.</w:t>
      </w:r>
    </w:p>
    <w:p w:rsidR="00916A8C" w:rsidRDefault="00916A8C" w:rsidP="00916A8C">
      <w:r>
        <w:t xml:space="preserve"> </w:t>
      </w:r>
    </w:p>
    <w:p w:rsidR="00916A8C" w:rsidRDefault="00916A8C" w:rsidP="00916A8C">
      <w:r>
        <w:t>Artikel 4</w:t>
      </w:r>
    </w:p>
    <w:p w:rsidR="00916A8C" w:rsidRDefault="00916A8C" w:rsidP="00916A8C">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916A8C" w:rsidRDefault="00916A8C" w:rsidP="00916A8C"/>
    <w:p w:rsidR="00916A8C" w:rsidRDefault="00916A8C" w:rsidP="00916A8C"/>
    <w:p w:rsidR="00916A8C" w:rsidRDefault="00916A8C" w:rsidP="00916A8C"/>
    <w:p w:rsidR="00916A8C" w:rsidRDefault="00916A8C" w:rsidP="00916A8C"/>
    <w:p w:rsidR="00916A8C" w:rsidRDefault="00916A8C" w:rsidP="00916A8C">
      <w:pPr>
        <w:pStyle w:val="Kop2"/>
      </w:pPr>
      <w:bookmarkStart w:id="4" w:name="_Toc370291958"/>
      <w:r>
        <w:t>2008</w:t>
      </w:r>
      <w:bookmarkEnd w:id="4"/>
    </w:p>
    <w:p w:rsidR="00916A8C" w:rsidRDefault="00916A8C" w:rsidP="00916A8C">
      <w:pPr>
        <w:pStyle w:val="Kop4"/>
      </w:pPr>
      <w:r>
        <w:t>Artikel 3</w:t>
      </w:r>
    </w:p>
    <w:p w:rsidR="00916A8C" w:rsidRDefault="00916A8C" w:rsidP="00916A8C">
      <w:r>
        <w:t>Partijen mogen ten aanzien van schuld c.q. toerekening, medische causaliteit en verjaring verweer voeren.</w:t>
      </w:r>
    </w:p>
    <w:p w:rsidR="00916A8C" w:rsidRDefault="00916A8C" w:rsidP="00916A8C">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916A8C" w:rsidRDefault="00916A8C" w:rsidP="00916A8C">
      <w:r>
        <w:t xml:space="preserve"> </w:t>
      </w:r>
    </w:p>
    <w:p w:rsidR="00916A8C" w:rsidRDefault="00916A8C" w:rsidP="00916A8C">
      <w:pPr>
        <w:pStyle w:val="Kop4"/>
      </w:pPr>
      <w:r>
        <w:lastRenderedPageBreak/>
        <w:t>Artikel 4</w:t>
      </w:r>
    </w:p>
    <w:p w:rsidR="00916A8C" w:rsidRDefault="00916A8C" w:rsidP="00916A8C">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916A8C" w:rsidRDefault="00916A8C" w:rsidP="00916A8C"/>
    <w:p w:rsidR="00916A8C" w:rsidRDefault="00916A8C" w:rsidP="00916A8C">
      <w:pPr>
        <w:pStyle w:val="Kop2"/>
      </w:pPr>
      <w:bookmarkStart w:id="5" w:name="_Toc370291959"/>
      <w:r>
        <w:t>2011</w:t>
      </w:r>
      <w:bookmarkEnd w:id="5"/>
    </w:p>
    <w:p w:rsidR="00916A8C" w:rsidRDefault="00916A8C" w:rsidP="00916A8C">
      <w:pPr>
        <w:pStyle w:val="Kop4"/>
      </w:pPr>
      <w:r>
        <w:t>Artikel 3</w:t>
      </w:r>
    </w:p>
    <w:p w:rsidR="00916A8C" w:rsidRDefault="00916A8C" w:rsidP="00916A8C">
      <w:r>
        <w:t>Partijen mogen ten aanzien van schuld c.q. toerekening, medische causaliteit en verjaring verweer voeren.</w:t>
      </w:r>
    </w:p>
    <w:p w:rsidR="00916A8C" w:rsidRDefault="00916A8C" w:rsidP="00916A8C">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916A8C" w:rsidRDefault="00916A8C" w:rsidP="00916A8C"/>
    <w:p w:rsidR="00916A8C" w:rsidRDefault="00916A8C" w:rsidP="00916A8C">
      <w:pPr>
        <w:pStyle w:val="Kop4"/>
      </w:pPr>
      <w:r>
        <w:t>Artikel 4</w:t>
      </w:r>
    </w:p>
    <w:p w:rsidR="00916A8C" w:rsidRDefault="00916A8C" w:rsidP="00916A8C">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916A8C" w:rsidRDefault="00916A8C" w:rsidP="00916A8C"/>
    <w:p w:rsidR="00916A8C" w:rsidRDefault="00916A8C" w:rsidP="00916A8C">
      <w:pPr>
        <w:pStyle w:val="Kop3"/>
      </w:pPr>
      <w:r>
        <w:t>Toelichting</w:t>
      </w:r>
    </w:p>
    <w:p w:rsidR="00916A8C" w:rsidRDefault="00916A8C" w:rsidP="00916A8C"/>
    <w:p w:rsidR="00916A8C" w:rsidRDefault="00916A8C" w:rsidP="00916A8C">
      <w:pPr>
        <w:pStyle w:val="Kop4"/>
      </w:pPr>
      <w:r>
        <w:t>Artikel 3</w:t>
      </w:r>
    </w:p>
    <w:p w:rsidR="00916A8C" w:rsidRDefault="00916A8C" w:rsidP="00916A8C">
      <w:r>
        <w:t>Partijen mogen ten aanzien van schuld c.q. toerekening, medische causaliteit en verjaring verweer voeren. Met betrekking tot de informatie-uitwisseling ten behoeve van deze weren zijn partijen gehouden aan het bepaalde in artikel 7.</w:t>
      </w:r>
    </w:p>
    <w:p w:rsidR="00916A8C" w:rsidRDefault="00916A8C" w:rsidP="00916A8C">
      <w:r>
        <w:t xml:space="preserve">De vordering, zoals deze door het UWV wordt ingediend, zal het civiele plafond niet te boven gaan. Dit geldt dus ook voor de </w:t>
      </w:r>
      <w:proofErr w:type="spellStart"/>
      <w:r>
        <w:t>WIA-WGA-vordering</w:t>
      </w:r>
      <w:proofErr w:type="spellEnd"/>
      <w:r>
        <w:t>, gebaseerd op een gedeeltelijke arbeidsongeschiktheid, zoals in de uitgangspunten geformuleerd.</w:t>
      </w:r>
    </w:p>
    <w:p w:rsidR="00916A8C" w:rsidRDefault="00916A8C" w:rsidP="00916A8C">
      <w:pPr>
        <w:pStyle w:val="Kop4"/>
      </w:pPr>
    </w:p>
    <w:p w:rsidR="00916A8C" w:rsidRDefault="00916A8C" w:rsidP="00916A8C">
      <w:pPr>
        <w:pStyle w:val="Kop4"/>
      </w:pPr>
      <w:r>
        <w:t>Artikel 4</w:t>
      </w:r>
    </w:p>
    <w:p w:rsidR="00916A8C" w:rsidRDefault="00916A8C" w:rsidP="00916A8C">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916A8C" w:rsidRDefault="00916A8C" w:rsidP="00916A8C"/>
    <w:p w:rsidR="00916A8C" w:rsidRDefault="00916A8C" w:rsidP="00916A8C">
      <w:pPr>
        <w:pStyle w:val="Kop2"/>
      </w:pPr>
      <w:bookmarkStart w:id="6" w:name="_Toc370291960"/>
      <w:r>
        <w:t>2013</w:t>
      </w:r>
      <w:bookmarkEnd w:id="6"/>
    </w:p>
    <w:p w:rsidR="00916A8C" w:rsidRDefault="00916A8C" w:rsidP="00916A8C">
      <w:pPr>
        <w:pStyle w:val="Kop4"/>
      </w:pPr>
      <w:r>
        <w:t>Artikel 3</w:t>
      </w:r>
    </w:p>
    <w:p w:rsidR="00916A8C" w:rsidRDefault="00916A8C" w:rsidP="00916A8C">
      <w:r>
        <w:t>Partijen mogen ten aanzien van schuld c.q. toerekening, medische causaliteit en verjaring verweer voeren.</w:t>
      </w:r>
    </w:p>
    <w:p w:rsidR="00916A8C" w:rsidRDefault="00916A8C" w:rsidP="00916A8C">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916A8C" w:rsidRDefault="00916A8C" w:rsidP="00916A8C"/>
    <w:p w:rsidR="00916A8C" w:rsidRDefault="00916A8C" w:rsidP="00916A8C">
      <w:pPr>
        <w:pStyle w:val="Kop4"/>
      </w:pPr>
      <w:r>
        <w:t>Artikel 4</w:t>
      </w:r>
    </w:p>
    <w:p w:rsidR="00916A8C" w:rsidRDefault="00916A8C" w:rsidP="00916A8C">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916A8C" w:rsidRDefault="00916A8C" w:rsidP="00916A8C"/>
    <w:p w:rsidR="00916A8C" w:rsidRDefault="00916A8C" w:rsidP="00916A8C">
      <w:pPr>
        <w:pStyle w:val="Kop3"/>
      </w:pPr>
      <w:r>
        <w:lastRenderedPageBreak/>
        <w:t>Toelichting</w:t>
      </w:r>
    </w:p>
    <w:p w:rsidR="00916A8C" w:rsidRDefault="00916A8C" w:rsidP="00916A8C">
      <w:pPr>
        <w:pStyle w:val="Kop4"/>
      </w:pPr>
      <w:r>
        <w:t>Artikel 3</w:t>
      </w:r>
    </w:p>
    <w:p w:rsidR="00916A8C" w:rsidRDefault="00916A8C" w:rsidP="00916A8C">
      <w:r>
        <w:t>Partijen mogen ten aanzien van schuld c.q. toerekening, medische causaliteit en verjaring verweer voeren. Met betrekking tot de informatie-uitwisseling ten behoeve van deze weren zijn partijen gehouden aan het bepaalde in artikel 7.</w:t>
      </w:r>
    </w:p>
    <w:p w:rsidR="00916A8C" w:rsidRDefault="00916A8C" w:rsidP="00916A8C">
      <w:r>
        <w:t xml:space="preserve">De vordering, zoals deze door het UWV wordt ingediend, zal het civiele plafond niet te boven gaan. Dit geldt dus ook voor de </w:t>
      </w:r>
      <w:proofErr w:type="spellStart"/>
      <w:r>
        <w:t>WIA-WGA-vordering</w:t>
      </w:r>
      <w:proofErr w:type="spellEnd"/>
      <w:r>
        <w:t>, gebaseerd op een gedeeltelijke arbeidsongeschiktheid, zoals in de uitgangspunten geformuleerd.</w:t>
      </w:r>
    </w:p>
    <w:p w:rsidR="00916A8C" w:rsidRDefault="00916A8C" w:rsidP="00916A8C"/>
    <w:p w:rsidR="00916A8C" w:rsidRDefault="00916A8C" w:rsidP="00916A8C">
      <w:pPr>
        <w:pStyle w:val="Kop4"/>
      </w:pPr>
      <w:r>
        <w:t>Artikel 4</w:t>
      </w:r>
    </w:p>
    <w:p w:rsidR="00916A8C" w:rsidRDefault="00916A8C" w:rsidP="00916A8C">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916A8C" w:rsidRDefault="00916A8C" w:rsidP="00916A8C"/>
    <w:p w:rsidR="006C42D0" w:rsidRDefault="006C42D0">
      <w:r>
        <w:br w:type="page"/>
      </w:r>
    </w:p>
    <w:p w:rsidR="006C42D0" w:rsidRDefault="00F11533" w:rsidP="00F11533">
      <w:pPr>
        <w:pStyle w:val="Kop1"/>
      </w:pPr>
      <w:bookmarkStart w:id="7" w:name="_Toc370291961"/>
      <w:r>
        <w:lastRenderedPageBreak/>
        <w:t>Tekst</w:t>
      </w:r>
      <w:r w:rsidR="006C42D0">
        <w:t xml:space="preserve">  artikel 3</w:t>
      </w:r>
      <w:bookmarkEnd w:id="7"/>
    </w:p>
    <w:p w:rsidR="006C42D0" w:rsidRDefault="006C42D0" w:rsidP="006C42D0">
      <w:pPr>
        <w:pStyle w:val="Kop2"/>
      </w:pPr>
      <w:bookmarkStart w:id="8" w:name="_Toc370291962"/>
      <w:r>
        <w:t>1998</w:t>
      </w:r>
      <w:bookmarkEnd w:id="8"/>
    </w:p>
    <w:p w:rsidR="006C42D0" w:rsidRDefault="006C42D0" w:rsidP="006C42D0">
      <w:pPr>
        <w:pStyle w:val="Kop4"/>
      </w:pPr>
      <w:r>
        <w:t>Artikel 4</w:t>
      </w:r>
    </w:p>
    <w:p w:rsidR="006C42D0" w:rsidRDefault="006C42D0" w:rsidP="006C42D0">
      <w:r>
        <w:t xml:space="preserve"> </w:t>
      </w:r>
    </w:p>
    <w:p w:rsidR="006C42D0" w:rsidRDefault="006C42D0" w:rsidP="006C42D0">
      <w:r>
        <w:t>1. Partijen mogen geschilpunten ten aanzien van schuld, toerekening, verjaring of andere verweren aanvoeren, behalve ten aanzien van de medische causaliteit zoals in lid 2 is verwoord.</w:t>
      </w:r>
    </w:p>
    <w:p w:rsidR="006C42D0" w:rsidRDefault="006C42D0" w:rsidP="006C42D0">
      <w:r>
        <w:t xml:space="preserve"> </w:t>
      </w:r>
    </w:p>
    <w:p w:rsidR="006C42D0" w:rsidRDefault="006C42D0" w:rsidP="006C42D0">
      <w:r>
        <w:t xml:space="preserve">2. Verzekeraars zullen er zich niet op beroepen dat de arbeidsongeschiktheid op basis waarvan de uitkeringsgerechtigde de ZW </w:t>
      </w:r>
      <w:proofErr w:type="spellStart"/>
      <w:r>
        <w:t>danwel</w:t>
      </w:r>
      <w:proofErr w:type="spellEnd"/>
      <w:r>
        <w:t xml:space="preserve"> de WAO uitkering heeft ontvangen, geheel of gedeeltelijk haar oorzaak vindt in een al dan niet latent aanwezige ziekte of aandoening die reeds bestond vóór de gebeurtenis die leidde tot de regresvordering, tenzij het medisch gezien duidelijk is dat de tot de WAO uitkering aanleiding gevende ziekte of aandoening niet door het ongeval veroorzaakt kan zijn.</w:t>
      </w:r>
    </w:p>
    <w:p w:rsidR="006C42D0" w:rsidRDefault="006C42D0" w:rsidP="006C42D0">
      <w:r>
        <w:t xml:space="preserve"> </w:t>
      </w:r>
    </w:p>
    <w:p w:rsidR="006C42D0" w:rsidRDefault="006C42D0" w:rsidP="006C42D0">
      <w:r>
        <w:t>3. Indien de uitkeringsgerechtigde binnen een periode van 52 weken vóór de gebeurtenis die leidde tot de regresvordering, gedurende tenminste een aaneengesloten periode van vier weken wegens de in lid 2 genoemde ziekte of aandoening arbeidsongeschikt is geweest, wordt aan de in lid 2 bedoelde gebeurtenis alleen de toename van de arbeidsongeschiktheid toegeschreven.</w:t>
      </w:r>
    </w:p>
    <w:p w:rsidR="006C42D0" w:rsidRDefault="006C42D0" w:rsidP="006C42D0">
      <w:r>
        <w:t xml:space="preserve"> </w:t>
      </w:r>
    </w:p>
    <w:p w:rsidR="006C42D0" w:rsidRDefault="006C42D0" w:rsidP="006C42D0">
      <w:pPr>
        <w:pStyle w:val="Kop2"/>
      </w:pPr>
      <w:bookmarkStart w:id="9" w:name="_Toc370291963"/>
      <w:r>
        <w:t>2001</w:t>
      </w:r>
      <w:bookmarkEnd w:id="9"/>
      <w:r>
        <w:t xml:space="preserve"> </w:t>
      </w:r>
    </w:p>
    <w:p w:rsidR="006C42D0" w:rsidRDefault="006C42D0" w:rsidP="006C42D0">
      <w:pPr>
        <w:pStyle w:val="Kop4"/>
      </w:pPr>
      <w:r>
        <w:t>Artikel 3</w:t>
      </w:r>
    </w:p>
    <w:p w:rsidR="006C42D0" w:rsidRDefault="006C42D0" w:rsidP="006C42D0">
      <w:r>
        <w:t>Partijen mogen ten aanzien van schuld c.q. toerekening, medische causaliteit en verjaring verweer voeren.</w:t>
      </w:r>
    </w:p>
    <w:p w:rsidR="006C42D0" w:rsidRDefault="006C42D0" w:rsidP="006C42D0">
      <w:r>
        <w:t xml:space="preserve">Met toepassing van de forfaitaire korting als bedoeld in artikel 2 </w:t>
      </w:r>
      <w:proofErr w:type="spellStart"/>
      <w:r>
        <w:t>juncto</w:t>
      </w:r>
      <w:proofErr w:type="spellEnd"/>
      <w:r>
        <w:t xml:space="preserve"> artikel 8 derde lid wordt de verhaalsvordering van het </w:t>
      </w:r>
      <w:proofErr w:type="spellStart"/>
      <w:r>
        <w:t>Lisv</w:t>
      </w:r>
      <w:proofErr w:type="spellEnd"/>
      <w:r>
        <w:t xml:space="preserve"> geacht met betrekking tot de omvang van de inkomensschade als gevolg van de arbeidsongeschiktheid veroorzakende gebeurtenis beneden het civiele plafond te blijven.</w:t>
      </w:r>
    </w:p>
    <w:p w:rsidR="006C42D0" w:rsidRDefault="006C42D0" w:rsidP="006C42D0"/>
    <w:p w:rsidR="006C42D0" w:rsidRDefault="006C42D0" w:rsidP="006C42D0">
      <w:pPr>
        <w:pStyle w:val="Kop2"/>
      </w:pPr>
      <w:bookmarkStart w:id="10" w:name="_Toc370291964"/>
      <w:r>
        <w:t>2004</w:t>
      </w:r>
      <w:bookmarkEnd w:id="10"/>
    </w:p>
    <w:p w:rsidR="006C42D0" w:rsidRDefault="006C42D0" w:rsidP="006C42D0">
      <w:pPr>
        <w:pStyle w:val="Kop4"/>
      </w:pPr>
      <w:r>
        <w:t>Artikel 3</w:t>
      </w:r>
    </w:p>
    <w:p w:rsidR="006C42D0" w:rsidRDefault="006C42D0" w:rsidP="006C42D0">
      <w:r>
        <w:t>Partijen mogen ten aanzien van schuld c.q. toerekening, medische causaliteit en verjaring verweer voeren.</w:t>
      </w:r>
    </w:p>
    <w:p w:rsidR="006C42D0" w:rsidRDefault="006C42D0" w:rsidP="006C42D0">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6C42D0" w:rsidRDefault="006C42D0" w:rsidP="006C42D0"/>
    <w:p w:rsidR="006C42D0" w:rsidRDefault="006C42D0" w:rsidP="006C42D0">
      <w:pPr>
        <w:pStyle w:val="Kop2"/>
      </w:pPr>
      <w:bookmarkStart w:id="11" w:name="_Toc370291965"/>
      <w:r>
        <w:t>2008</w:t>
      </w:r>
      <w:bookmarkEnd w:id="11"/>
    </w:p>
    <w:p w:rsidR="006C42D0" w:rsidRDefault="006C42D0" w:rsidP="006C42D0">
      <w:pPr>
        <w:pStyle w:val="Kop4"/>
      </w:pPr>
      <w:r>
        <w:t>Artikel 3</w:t>
      </w:r>
    </w:p>
    <w:p w:rsidR="006C42D0" w:rsidRDefault="006C42D0" w:rsidP="006C42D0">
      <w:r>
        <w:t>Partijen mogen ten aanzien van schuld c.q. toerekening, medische causaliteit en verjaring verweer voeren.</w:t>
      </w:r>
    </w:p>
    <w:p w:rsidR="006C42D0" w:rsidRDefault="006C42D0" w:rsidP="006C42D0">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6C42D0" w:rsidRDefault="006C42D0" w:rsidP="006C42D0">
      <w:r>
        <w:t xml:space="preserve"> </w:t>
      </w:r>
    </w:p>
    <w:p w:rsidR="006C42D0" w:rsidRDefault="006C42D0" w:rsidP="006C42D0"/>
    <w:p w:rsidR="006C42D0" w:rsidRDefault="006C42D0" w:rsidP="006C42D0">
      <w:pPr>
        <w:pStyle w:val="Kop2"/>
      </w:pPr>
      <w:bookmarkStart w:id="12" w:name="_Toc370291966"/>
      <w:r>
        <w:t>2011</w:t>
      </w:r>
      <w:bookmarkEnd w:id="12"/>
    </w:p>
    <w:p w:rsidR="006C42D0" w:rsidRDefault="006C42D0" w:rsidP="006C42D0">
      <w:pPr>
        <w:pStyle w:val="Kop4"/>
      </w:pPr>
      <w:r>
        <w:t>Artikel 3</w:t>
      </w:r>
    </w:p>
    <w:p w:rsidR="006C42D0" w:rsidRDefault="006C42D0" w:rsidP="006C42D0">
      <w:r>
        <w:t>Partijen mogen ten aanzien van schuld c.q. toerekening, medische causaliteit en verjaring verweer voeren.</w:t>
      </w:r>
    </w:p>
    <w:p w:rsidR="006C42D0" w:rsidRDefault="006C42D0" w:rsidP="006C42D0">
      <w:r>
        <w:lastRenderedPageBreak/>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6C42D0" w:rsidRDefault="006C42D0" w:rsidP="006C42D0"/>
    <w:p w:rsidR="006C42D0" w:rsidRDefault="006C42D0" w:rsidP="006C42D0"/>
    <w:p w:rsidR="006C42D0" w:rsidRDefault="006C42D0" w:rsidP="006C42D0">
      <w:pPr>
        <w:pStyle w:val="Kop2"/>
      </w:pPr>
      <w:bookmarkStart w:id="13" w:name="_Toc370291967"/>
      <w:r>
        <w:t>2013</w:t>
      </w:r>
      <w:bookmarkEnd w:id="13"/>
    </w:p>
    <w:p w:rsidR="006C42D0" w:rsidRDefault="006C42D0" w:rsidP="006C42D0">
      <w:pPr>
        <w:pStyle w:val="Kop4"/>
      </w:pPr>
      <w:r>
        <w:t>Artikel 3</w:t>
      </w:r>
    </w:p>
    <w:p w:rsidR="006C42D0" w:rsidRDefault="006C42D0" w:rsidP="006C42D0">
      <w:r>
        <w:t>Partijen mogen ten aanzien van schuld c.q. toerekening, medische causaliteit en verjaring verweer voeren.</w:t>
      </w:r>
    </w:p>
    <w:p w:rsidR="00F11533" w:rsidRDefault="006C42D0" w:rsidP="006C42D0">
      <w:r>
        <w:t xml:space="preserve">Met toepassing van de forfaitaire korting als bedoeld in artikel 2 </w:t>
      </w:r>
      <w:proofErr w:type="spellStart"/>
      <w:r>
        <w:t>juncto</w:t>
      </w:r>
      <w:proofErr w:type="spellEnd"/>
      <w:r>
        <w:t xml:space="preserve"> artikel 8 derde lid wordt de verhaalsvordering van het UWV geacht met betrekking tot de omvang van de inkomensschade als gevolg van de arbeidsongeschiktheid veroorzakende gebeurtenis beneden het civiele plafond te blijven.</w:t>
      </w:r>
    </w:p>
    <w:p w:rsidR="006C42D0" w:rsidRDefault="006C42D0" w:rsidP="006C42D0"/>
    <w:p w:rsidR="006C42D0" w:rsidRDefault="00F11533" w:rsidP="006C42D0">
      <w:pPr>
        <w:pStyle w:val="Kop1"/>
      </w:pPr>
      <w:bookmarkStart w:id="14" w:name="_Toc370291968"/>
      <w:r>
        <w:t>T</w:t>
      </w:r>
      <w:r w:rsidR="006C42D0">
        <w:t>oelichting art. 3,</w:t>
      </w:r>
      <w:bookmarkEnd w:id="14"/>
      <w:r w:rsidR="006C42D0">
        <w:t xml:space="preserve"> </w:t>
      </w:r>
    </w:p>
    <w:p w:rsidR="006C42D0" w:rsidRDefault="006C42D0" w:rsidP="006C42D0">
      <w:pPr>
        <w:pStyle w:val="Kop2"/>
      </w:pPr>
      <w:bookmarkStart w:id="15" w:name="_Toc370291969"/>
      <w:r>
        <w:t>1998</w:t>
      </w:r>
      <w:bookmarkEnd w:id="15"/>
    </w:p>
    <w:p w:rsidR="006C42D0" w:rsidRDefault="006C42D0" w:rsidP="006C42D0"/>
    <w:p w:rsidR="006C42D0" w:rsidRDefault="006C42D0" w:rsidP="006C42D0">
      <w:pPr>
        <w:pStyle w:val="Kop3"/>
      </w:pPr>
      <w:r>
        <w:t>Toelichting</w:t>
      </w:r>
    </w:p>
    <w:p w:rsidR="006C42D0" w:rsidRDefault="006C42D0" w:rsidP="006C42D0">
      <w:pPr>
        <w:pStyle w:val="Kop4"/>
      </w:pPr>
      <w:r>
        <w:t>Artikel 4</w:t>
      </w:r>
    </w:p>
    <w:p w:rsidR="006C42D0" w:rsidRDefault="006C42D0" w:rsidP="006C42D0">
      <w:r>
        <w:t xml:space="preserve"> </w:t>
      </w:r>
    </w:p>
    <w:p w:rsidR="006C42D0" w:rsidRDefault="006C42D0" w:rsidP="006C42D0">
      <w:r>
        <w:t>lid 1</w:t>
      </w:r>
    </w:p>
    <w:p w:rsidR="006C42D0" w:rsidRDefault="006C42D0" w:rsidP="006C42D0">
      <w:r>
        <w:t xml:space="preserve"> </w:t>
      </w:r>
    </w:p>
    <w:p w:rsidR="006C42D0" w:rsidRDefault="006C42D0" w:rsidP="006C42D0">
      <w:r>
        <w:t>Partijen mogen geschilpunten ten aanzien van schuld, toerekening, verjaring of andere verweren aanvoeren. Ten aanzien van medische causaliteit zijn de mogelijkheden om weren aan te voeren beperkt. Hierbij wordt verwezen naar hetgeen hieromtrent in lid 2 is opgenomen. lid 2 en 3</w:t>
      </w:r>
    </w:p>
    <w:p w:rsidR="006C42D0" w:rsidRDefault="006C42D0" w:rsidP="006C42D0">
      <w:r>
        <w:t xml:space="preserve"> </w:t>
      </w:r>
    </w:p>
    <w:p w:rsidR="006C42D0" w:rsidRDefault="006C42D0" w:rsidP="006C42D0">
      <w:r>
        <w:t xml:space="preserve">Partijen hebben afgesproken dat verzekeraars geen beroep meer toekomt op de zgn. medische causaliteit. Met andere woorden: verzekeraars kunnen zich er niet meer op beroepen dat de arbeidsongeschiktheid (mede) een andere oorzaak heeft dan het ongeval. In drie situaties is beroep op de, medische causaliteit echter nog </w:t>
      </w:r>
      <w:proofErr w:type="spellStart"/>
      <w:r>
        <w:t>wèl</w:t>
      </w:r>
      <w:proofErr w:type="spellEnd"/>
      <w:r>
        <w:t xml:space="preserve"> mogelijk:</w:t>
      </w:r>
    </w:p>
    <w:p w:rsidR="006C42D0" w:rsidRDefault="006C42D0" w:rsidP="006C42D0">
      <w:r>
        <w:t xml:space="preserve"> </w:t>
      </w:r>
    </w:p>
    <w:p w:rsidR="006C42D0" w:rsidRDefault="006C42D0" w:rsidP="006C42D0">
      <w:pPr>
        <w:pStyle w:val="Lijstalinea"/>
        <w:numPr>
          <w:ilvl w:val="0"/>
          <w:numId w:val="4"/>
        </w:numPr>
      </w:pPr>
      <w:r>
        <w:t>wanneer het medisch gezien duidelijk is dat de tot de WAO uitkering leidende ziekte</w:t>
      </w:r>
    </w:p>
    <w:p w:rsidR="006C42D0" w:rsidRDefault="006C42D0" w:rsidP="006C42D0">
      <w:pPr>
        <w:ind w:left="567" w:hanging="283"/>
      </w:pPr>
      <w:r>
        <w:t>of aandoening niet door het ongeval kan zijn veroorzaakt;</w:t>
      </w:r>
    </w:p>
    <w:p w:rsidR="006C42D0" w:rsidRDefault="006C42D0" w:rsidP="006C42D0">
      <w:pPr>
        <w:ind w:left="567" w:hanging="283"/>
      </w:pPr>
      <w:r>
        <w:t xml:space="preserve"> </w:t>
      </w:r>
    </w:p>
    <w:p w:rsidR="006C42D0" w:rsidRDefault="006C42D0" w:rsidP="006C42D0">
      <w:pPr>
        <w:ind w:left="567" w:hanging="283"/>
      </w:pPr>
      <w:r>
        <w:t>b) wanneer zich na het ongeval een ziekte of aandoening openbaart, waarvan het</w:t>
      </w:r>
    </w:p>
    <w:p w:rsidR="006C42D0" w:rsidRDefault="006C42D0" w:rsidP="006C42D0">
      <w:pPr>
        <w:ind w:left="567" w:hanging="283"/>
      </w:pPr>
      <w:r>
        <w:t>duidelijk is dat deze ook zonder het ongeval tot arbeidsongeschiktheid zou hebben</w:t>
      </w:r>
    </w:p>
    <w:p w:rsidR="006C42D0" w:rsidRDefault="006C42D0" w:rsidP="006C42D0">
      <w:pPr>
        <w:ind w:left="567" w:hanging="283"/>
      </w:pPr>
      <w:r>
        <w:t>geleid; en</w:t>
      </w:r>
    </w:p>
    <w:p w:rsidR="006C42D0" w:rsidRDefault="006C42D0" w:rsidP="006C42D0">
      <w:pPr>
        <w:ind w:left="567" w:hanging="283"/>
      </w:pPr>
      <w:r>
        <w:t xml:space="preserve"> </w:t>
      </w:r>
    </w:p>
    <w:p w:rsidR="006C42D0" w:rsidRDefault="006C42D0" w:rsidP="006C42D0">
      <w:pPr>
        <w:ind w:left="567" w:hanging="283"/>
      </w:pPr>
      <w:r>
        <w:t>c) wanneer het slachtoffer in het jaar voorafgaande aan het ongeval tenminste vier weken arbeidsongeschikt (i.c. dus ziek thuis) is geweest ten gevolge van een ziekte of aandoening die volgens de verzekeraar in verband staat met de arbeidsongeschiktheid na het ongeval. In dat geval komt alleen de (eventuele) toename van deze arbeidsongeschiktheid door het ongeval voor verhaal in aanmerking. Hetzelfde geldt a fortiori voor slachtoffers die ten tijde van de tot de arbeidsongeschiktheid leidende gebeurtenis reeds over een gedeeltelijke arbeidsongeschiktheiduitkering beschikten.</w:t>
      </w:r>
    </w:p>
    <w:p w:rsidR="006C42D0" w:rsidRDefault="006C42D0" w:rsidP="006C42D0"/>
    <w:p w:rsidR="006C42D0" w:rsidRDefault="006C42D0" w:rsidP="006C42D0">
      <w:r>
        <w:t>De volgende praktijkvoorbeelden kunnen één en ander verduidelijken:</w:t>
      </w:r>
    </w:p>
    <w:p w:rsidR="006C42D0" w:rsidRDefault="006C42D0" w:rsidP="006C42D0">
      <w:r>
        <w:t xml:space="preserve"> </w:t>
      </w:r>
    </w:p>
    <w:p w:rsidR="006C42D0" w:rsidRDefault="006C42D0" w:rsidP="006C42D0">
      <w:r>
        <w:t>1. Een slachtoffer loopt bij een ongeval een gebroken arm op. Het herstel verloopt</w:t>
      </w:r>
    </w:p>
    <w:p w:rsidR="006C42D0" w:rsidRDefault="006C42D0" w:rsidP="006C42D0">
      <w:r>
        <w:t>goed. Uiteindelijk raakt hij toch in de WAO door hartproblemen die, na later bleek,</w:t>
      </w:r>
    </w:p>
    <w:p w:rsidR="006C42D0" w:rsidRDefault="006C42D0" w:rsidP="006C42D0">
      <w:r>
        <w:t>ook al vóór het ongeval latent aanwezig waren.</w:t>
      </w:r>
    </w:p>
    <w:p w:rsidR="006C42D0" w:rsidRDefault="006C42D0" w:rsidP="006C42D0">
      <w:r>
        <w:t>Hier is een beroep op de medische causaliteit mogelijk, waarschijnlijk uitkomende</w:t>
      </w:r>
    </w:p>
    <w:p w:rsidR="006C42D0" w:rsidRDefault="006C42D0" w:rsidP="006C42D0">
      <w:r>
        <w:lastRenderedPageBreak/>
        <w:t xml:space="preserve"> op het ontbreken van een dergelijke causaliteit.</w:t>
      </w:r>
    </w:p>
    <w:p w:rsidR="006C42D0" w:rsidRDefault="006C42D0" w:rsidP="006C42D0">
      <w:r>
        <w:t xml:space="preserve"> </w:t>
      </w:r>
    </w:p>
    <w:p w:rsidR="006C42D0" w:rsidRDefault="006C42D0" w:rsidP="006C42D0">
      <w:r>
        <w:t>2. Een slachtoffer wordt van achteren aangereden en loopt nekklachten op. Hij raakt</w:t>
      </w:r>
    </w:p>
    <w:p w:rsidR="006C42D0" w:rsidRDefault="006C42D0" w:rsidP="006C42D0">
      <w:r>
        <w:t>volledig arbeidsongeschikt. Achteraf blijkt dat er vóór het ongeval reeds allerlei</w:t>
      </w:r>
    </w:p>
    <w:p w:rsidR="006C42D0" w:rsidRDefault="006C42D0" w:rsidP="006C42D0">
      <w:r>
        <w:t>psychische problemen waren. Het ongeval was de bekende druppel.</w:t>
      </w:r>
    </w:p>
    <w:p w:rsidR="006C42D0" w:rsidRDefault="006C42D0" w:rsidP="006C42D0">
      <w:r>
        <w:t>Hier is geen beroep mogelijk op de medische causaliteit, zodat de WAO uitkering</w:t>
      </w:r>
    </w:p>
    <w:p w:rsidR="006C42D0" w:rsidRDefault="006C42D0" w:rsidP="006C42D0">
      <w:r>
        <w:t xml:space="preserve"> volledig verhaalbaar is.</w:t>
      </w:r>
    </w:p>
    <w:p w:rsidR="006C42D0" w:rsidRDefault="006C42D0" w:rsidP="006C42D0">
      <w:r>
        <w:t xml:space="preserve"> </w:t>
      </w:r>
    </w:p>
    <w:p w:rsidR="006C42D0" w:rsidRDefault="006C42D0" w:rsidP="006C42D0">
      <w:r>
        <w:t xml:space="preserve">3. Zie 2. Hij was nu echter </w:t>
      </w:r>
      <w:proofErr w:type="spellStart"/>
      <w:r>
        <w:t>wèl</w:t>
      </w:r>
      <w:proofErr w:type="spellEnd"/>
      <w:r>
        <w:t xml:space="preserve"> een half jaar voor het ongeval 6 weken ziek thuis</w:t>
      </w:r>
    </w:p>
    <w:p w:rsidR="006C42D0" w:rsidRDefault="006C42D0" w:rsidP="006C42D0">
      <w:r>
        <w:t>geweest wegens overspannenheid.</w:t>
      </w:r>
    </w:p>
    <w:p w:rsidR="006C42D0" w:rsidRDefault="006C42D0" w:rsidP="006C42D0">
      <w:r>
        <w:t xml:space="preserve">Hier is nog </w:t>
      </w:r>
      <w:proofErr w:type="spellStart"/>
      <w:r>
        <w:t>wèl</w:t>
      </w:r>
      <w:proofErr w:type="spellEnd"/>
      <w:r>
        <w:t xml:space="preserve"> een beroep mogelijk op de medische causaliteit, zodat alleen de</w:t>
      </w:r>
    </w:p>
    <w:p w:rsidR="006C42D0" w:rsidRDefault="006C42D0" w:rsidP="006C42D0">
      <w:r>
        <w:t>verergering door het ongeval voor verhaal in aanmerking komt.</w:t>
      </w:r>
    </w:p>
    <w:p w:rsidR="006C42D0" w:rsidRDefault="006C42D0" w:rsidP="006C42D0"/>
    <w:p w:rsidR="006C42D0" w:rsidRDefault="006C42D0" w:rsidP="006C42D0">
      <w:pPr>
        <w:pStyle w:val="Kop2"/>
      </w:pPr>
      <w:bookmarkStart w:id="16" w:name="_Toc370291970"/>
      <w:r>
        <w:t>2001</w:t>
      </w:r>
      <w:bookmarkEnd w:id="16"/>
      <w:r>
        <w:t xml:space="preserve"> </w:t>
      </w:r>
    </w:p>
    <w:p w:rsidR="006C42D0" w:rsidRDefault="006C42D0" w:rsidP="006C42D0">
      <w:pPr>
        <w:pStyle w:val="Kop3"/>
      </w:pPr>
      <w:r>
        <w:t>Toelichting</w:t>
      </w:r>
    </w:p>
    <w:p w:rsidR="006C42D0" w:rsidRDefault="006C42D0" w:rsidP="006C42D0">
      <w:pPr>
        <w:pStyle w:val="Kop4"/>
      </w:pPr>
      <w:r>
        <w:t>Artikel 3</w:t>
      </w:r>
    </w:p>
    <w:p w:rsidR="006C42D0" w:rsidRDefault="006C42D0" w:rsidP="006C42D0">
      <w:r>
        <w:t>Partijen mogen ten aanzien van schuld c.q. toerekening, medische causaliteit en verjaring verweer voeren. Met betrekking tot de informatie-uitwisseling ten behoeve van deze weren zijn partijen gehouden aan het bepaalde in artikel 7.</w:t>
      </w:r>
    </w:p>
    <w:p w:rsidR="006C42D0" w:rsidRDefault="006C42D0" w:rsidP="006C42D0"/>
    <w:p w:rsidR="006C42D0" w:rsidRDefault="006C42D0" w:rsidP="006C42D0">
      <w:pPr>
        <w:pStyle w:val="Kop2"/>
      </w:pPr>
      <w:bookmarkStart w:id="17" w:name="_Toc370291971"/>
      <w:r>
        <w:t>2004</w:t>
      </w:r>
      <w:bookmarkEnd w:id="17"/>
    </w:p>
    <w:p w:rsidR="006C42D0" w:rsidRDefault="006C42D0" w:rsidP="006C42D0">
      <w:pPr>
        <w:pStyle w:val="Kop3"/>
      </w:pPr>
      <w:r>
        <w:t>Toelichting</w:t>
      </w:r>
    </w:p>
    <w:p w:rsidR="006C42D0" w:rsidRDefault="006C42D0" w:rsidP="006C42D0">
      <w:pPr>
        <w:pStyle w:val="Kop4"/>
      </w:pPr>
      <w:r>
        <w:t>Artikel 3</w:t>
      </w:r>
    </w:p>
    <w:p w:rsidR="006C42D0" w:rsidRDefault="006C42D0" w:rsidP="006C42D0">
      <w:r>
        <w:t>Partijen mogen ten aanzien van schuld c.q. toerekening, medische causaliteit en verjaring verweer voeren. Met betrekking tot de informatie-uitwisseling ten behoeve van deze weren zijn partijen gehouden aan het bepaalde in artikel 7.</w:t>
      </w:r>
    </w:p>
    <w:p w:rsidR="006C42D0" w:rsidRDefault="006C42D0" w:rsidP="006C42D0">
      <w:r>
        <w:t>De vordering, zoals deze door het UWV wordt ingediend, zal het civiel plafond niet te boven gaan.</w:t>
      </w:r>
    </w:p>
    <w:p w:rsidR="006C42D0" w:rsidRDefault="006C42D0" w:rsidP="006C42D0">
      <w:r>
        <w:t xml:space="preserve"> </w:t>
      </w:r>
    </w:p>
    <w:p w:rsidR="006C42D0" w:rsidRDefault="006C42D0" w:rsidP="006C42D0">
      <w:pPr>
        <w:pStyle w:val="Kop2"/>
      </w:pPr>
      <w:bookmarkStart w:id="18" w:name="_Toc370291972"/>
      <w:r>
        <w:t>2011</w:t>
      </w:r>
      <w:bookmarkEnd w:id="18"/>
    </w:p>
    <w:p w:rsidR="006C42D0" w:rsidRDefault="006C42D0" w:rsidP="006C42D0">
      <w:pPr>
        <w:pStyle w:val="Kop3"/>
      </w:pPr>
      <w:r>
        <w:t>Toelichting</w:t>
      </w:r>
    </w:p>
    <w:p w:rsidR="006C42D0" w:rsidRDefault="006C42D0" w:rsidP="006C42D0">
      <w:pPr>
        <w:pStyle w:val="Kop4"/>
      </w:pPr>
      <w:r>
        <w:t>Artikel 3</w:t>
      </w:r>
    </w:p>
    <w:p w:rsidR="006C42D0" w:rsidRDefault="006C42D0" w:rsidP="006C42D0">
      <w:r>
        <w:t>Partijen mogen ten aanzien van schuld c.q. toerekening, medische causaliteit en verjaring verweer voeren. Met betrekking tot de informatie-uitwisseling ten behoeve van deze weren zijn partijen gehouden aan het bepaalde in artikel 7.</w:t>
      </w:r>
    </w:p>
    <w:p w:rsidR="006C42D0" w:rsidRDefault="006C42D0" w:rsidP="006C42D0">
      <w:r>
        <w:t xml:space="preserve">De vordering, zoals deze door het UWV wordt ingediend, zal het civiele plafond niet te boven gaan. Dit geldt dus ook voor de </w:t>
      </w:r>
      <w:proofErr w:type="spellStart"/>
      <w:r>
        <w:t>WIA-WGA-vordering</w:t>
      </w:r>
      <w:proofErr w:type="spellEnd"/>
      <w:r>
        <w:t>, gebaseerd op een gedeeltelijke arbeidsongeschiktheid, zoals in de uitgangspunten geformuleerd.</w:t>
      </w:r>
    </w:p>
    <w:p w:rsidR="006C42D0" w:rsidRDefault="006C42D0" w:rsidP="006C42D0"/>
    <w:p w:rsidR="006C42D0" w:rsidRDefault="006C42D0" w:rsidP="006C42D0">
      <w:pPr>
        <w:pStyle w:val="Kop2"/>
      </w:pPr>
      <w:bookmarkStart w:id="19" w:name="_Toc370291973"/>
      <w:r>
        <w:t>2013</w:t>
      </w:r>
      <w:bookmarkEnd w:id="19"/>
    </w:p>
    <w:p w:rsidR="006C42D0" w:rsidRDefault="006C42D0" w:rsidP="006C42D0">
      <w:pPr>
        <w:pStyle w:val="Kop3"/>
      </w:pPr>
      <w:r>
        <w:t>Toelichting</w:t>
      </w:r>
    </w:p>
    <w:p w:rsidR="006C42D0" w:rsidRDefault="006C42D0" w:rsidP="006C42D0">
      <w:pPr>
        <w:pStyle w:val="Kop4"/>
      </w:pPr>
      <w:r>
        <w:t>Artikel 3</w:t>
      </w:r>
    </w:p>
    <w:p w:rsidR="006C42D0" w:rsidRDefault="006C42D0" w:rsidP="006C42D0">
      <w:r>
        <w:t>Partijen mogen ten aanzien van schuld c.q. toerekening, medische causaliteit en verjaring verweer voeren. Met betrekking tot de informatie-uitwisseling ten behoeve van deze weren zijn partijen gehouden aan het bepaalde in artikel 7.</w:t>
      </w:r>
    </w:p>
    <w:p w:rsidR="006C42D0" w:rsidRDefault="006C42D0" w:rsidP="006C42D0">
      <w:r>
        <w:t xml:space="preserve">De vordering, zoals deze door het UWV wordt ingediend, zal het civiele plafond niet te boven gaan. Dit geldt dus ook voor de </w:t>
      </w:r>
      <w:proofErr w:type="spellStart"/>
      <w:r>
        <w:t>WIA-WGA-vordering</w:t>
      </w:r>
      <w:proofErr w:type="spellEnd"/>
      <w:r>
        <w:t>, gebaseerd op een gedeeltelijke arbeidsongeschiktheid, zoals in de uitgangspunten geformuleerd.</w:t>
      </w:r>
    </w:p>
    <w:p w:rsidR="006C42D0" w:rsidRDefault="006C42D0">
      <w:r>
        <w:br w:type="page"/>
      </w:r>
    </w:p>
    <w:p w:rsidR="006C42D0" w:rsidRDefault="00F11533" w:rsidP="006C42D0">
      <w:pPr>
        <w:pStyle w:val="Kop1"/>
      </w:pPr>
      <w:bookmarkStart w:id="20" w:name="_Toc370291974"/>
      <w:r>
        <w:lastRenderedPageBreak/>
        <w:t xml:space="preserve">Tekst </w:t>
      </w:r>
      <w:r w:rsidR="006C42D0">
        <w:t xml:space="preserve"> art. 4</w:t>
      </w:r>
      <w:bookmarkEnd w:id="20"/>
    </w:p>
    <w:p w:rsidR="006C42D0" w:rsidRDefault="006C42D0" w:rsidP="006C42D0">
      <w:pPr>
        <w:pStyle w:val="Kop2"/>
      </w:pPr>
      <w:bookmarkStart w:id="21" w:name="_Toc370291975"/>
      <w:r>
        <w:t>1998</w:t>
      </w:r>
      <w:bookmarkEnd w:id="21"/>
    </w:p>
    <w:p w:rsidR="006C42D0" w:rsidRDefault="006C42D0" w:rsidP="006C42D0">
      <w:pPr>
        <w:pStyle w:val="Kop4"/>
      </w:pPr>
      <w:r>
        <w:t>Artikel 5</w:t>
      </w:r>
    </w:p>
    <w:p w:rsidR="006C42D0" w:rsidRDefault="006C42D0" w:rsidP="006C42D0">
      <w:r>
        <w:t xml:space="preserve"> </w:t>
      </w:r>
    </w:p>
    <w:p w:rsidR="006C42D0" w:rsidRDefault="006C42D0" w:rsidP="006C42D0">
      <w:r>
        <w:t>1. Tijdens de looptijd van het convenant wordt door partijen geen beroep gedaan op rechterlijke uitspraken waarin is beslist over het civiele plafond, de bruto netto problematiek en/of vragen van medische causaliteit. Procedures die aanhangig zijn daarover, zullen worden beëindigd met compensatie van kosten.</w:t>
      </w:r>
    </w:p>
    <w:p w:rsidR="006C42D0" w:rsidRDefault="006C42D0" w:rsidP="006C42D0">
      <w:r>
        <w:t xml:space="preserve"> </w:t>
      </w:r>
    </w:p>
    <w:p w:rsidR="006C42D0" w:rsidRDefault="006C42D0" w:rsidP="006C42D0">
      <w:r>
        <w:t>2. Partijen die deelnemen aan het convenant doen voor de duur van het convenant jegens elkaar geen beroep op rechterlijke uitspraken over de in lid 1 bedoelde vraagstukken, waarin partijen betrokken zijn die het convenant niet hebben getekend.</w:t>
      </w:r>
    </w:p>
    <w:p w:rsidR="006C42D0" w:rsidRDefault="006C42D0" w:rsidP="006C42D0"/>
    <w:p w:rsidR="006C42D0" w:rsidRDefault="006C42D0" w:rsidP="006C42D0">
      <w:pPr>
        <w:pStyle w:val="Kop2"/>
      </w:pPr>
      <w:bookmarkStart w:id="22" w:name="_Toc370291976"/>
      <w:r>
        <w:t>2001</w:t>
      </w:r>
      <w:bookmarkEnd w:id="22"/>
      <w:r>
        <w:t xml:space="preserve"> </w:t>
      </w:r>
    </w:p>
    <w:p w:rsidR="006C42D0" w:rsidRDefault="006C42D0" w:rsidP="006C42D0">
      <w:pPr>
        <w:pStyle w:val="Kop4"/>
      </w:pPr>
      <w:r>
        <w:t>Artikel 4</w:t>
      </w:r>
    </w:p>
    <w:p w:rsidR="006C42D0" w:rsidRDefault="006C42D0" w:rsidP="006C42D0">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 waarbij partijen betrokken zijn die op dit convenant niet hebben ingetekend.</w:t>
      </w:r>
    </w:p>
    <w:p w:rsidR="006C42D0" w:rsidRDefault="006C42D0" w:rsidP="006C42D0"/>
    <w:p w:rsidR="006C42D0" w:rsidRDefault="006C42D0" w:rsidP="006C42D0">
      <w:pPr>
        <w:pStyle w:val="Kop2"/>
      </w:pPr>
      <w:bookmarkStart w:id="23" w:name="_Toc370291977"/>
      <w:r>
        <w:t>2004</w:t>
      </w:r>
      <w:bookmarkEnd w:id="23"/>
    </w:p>
    <w:p w:rsidR="006C42D0" w:rsidRDefault="006C42D0" w:rsidP="006C42D0">
      <w:pPr>
        <w:pStyle w:val="Kop4"/>
      </w:pPr>
      <w:r>
        <w:t>Artikel 4</w:t>
      </w:r>
    </w:p>
    <w:p w:rsidR="006C42D0" w:rsidRDefault="006C42D0" w:rsidP="006C42D0">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6C42D0" w:rsidRDefault="006C42D0" w:rsidP="006C42D0"/>
    <w:p w:rsidR="006C42D0" w:rsidRDefault="006C42D0" w:rsidP="006C42D0">
      <w:pPr>
        <w:pStyle w:val="Kop2"/>
      </w:pPr>
      <w:bookmarkStart w:id="24" w:name="_Toc370291978"/>
      <w:r>
        <w:t>2008</w:t>
      </w:r>
      <w:bookmarkEnd w:id="24"/>
    </w:p>
    <w:p w:rsidR="006C42D0" w:rsidRDefault="006C42D0" w:rsidP="006C42D0">
      <w:pPr>
        <w:pStyle w:val="Kop4"/>
      </w:pPr>
      <w:r>
        <w:t>Artikel 4</w:t>
      </w:r>
    </w:p>
    <w:p w:rsidR="006C42D0" w:rsidRDefault="006C42D0" w:rsidP="006C42D0">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6C42D0" w:rsidRDefault="006C42D0" w:rsidP="006C42D0"/>
    <w:p w:rsidR="006C42D0" w:rsidRDefault="006C42D0" w:rsidP="006C42D0">
      <w:pPr>
        <w:pStyle w:val="Kop2"/>
      </w:pPr>
      <w:bookmarkStart w:id="25" w:name="_Toc370291979"/>
      <w:r>
        <w:t>2011</w:t>
      </w:r>
      <w:bookmarkEnd w:id="25"/>
    </w:p>
    <w:p w:rsidR="006C42D0" w:rsidRDefault="006C42D0" w:rsidP="006C42D0">
      <w:pPr>
        <w:pStyle w:val="Kop4"/>
      </w:pPr>
      <w:r>
        <w:t>Artikel 4</w:t>
      </w:r>
    </w:p>
    <w:p w:rsidR="006C42D0" w:rsidRDefault="006C42D0" w:rsidP="006C42D0">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6C42D0" w:rsidRDefault="006C42D0" w:rsidP="006C42D0"/>
    <w:p w:rsidR="006C42D0" w:rsidRDefault="006C42D0" w:rsidP="006C42D0">
      <w:pPr>
        <w:pStyle w:val="Kop2"/>
      </w:pPr>
      <w:bookmarkStart w:id="26" w:name="_Toc370291980"/>
      <w:r>
        <w:t>2013</w:t>
      </w:r>
      <w:bookmarkEnd w:id="26"/>
    </w:p>
    <w:p w:rsidR="006C42D0" w:rsidRDefault="006C42D0" w:rsidP="006C42D0">
      <w:pPr>
        <w:pStyle w:val="Kop4"/>
      </w:pPr>
      <w:r>
        <w:t>Artikel 4</w:t>
      </w:r>
    </w:p>
    <w:p w:rsidR="006C42D0" w:rsidRDefault="006C42D0" w:rsidP="006C42D0">
      <w:r>
        <w:t xml:space="preserve">Partijen die deelnemen aan dit convenant doen voor de duur van het convenant jegens elkaar geen beroep op rechterlijke uitspraken, waarin is beslist over het civiele plafond, waaronder begrepen de </w:t>
      </w:r>
      <w:proofErr w:type="spellStart"/>
      <w:r>
        <w:t>bruto-netto</w:t>
      </w:r>
      <w:proofErr w:type="spellEnd"/>
      <w:r>
        <w:t xml:space="preserve"> problematiek.</w:t>
      </w:r>
    </w:p>
    <w:p w:rsidR="006C42D0" w:rsidRDefault="006C42D0">
      <w:r>
        <w:br w:type="page"/>
      </w:r>
    </w:p>
    <w:p w:rsidR="006C42D0" w:rsidRDefault="00F11533" w:rsidP="006C42D0">
      <w:pPr>
        <w:pStyle w:val="Kop1"/>
      </w:pPr>
      <w:bookmarkStart w:id="27" w:name="_Toc370291981"/>
      <w:r>
        <w:lastRenderedPageBreak/>
        <w:t>T</w:t>
      </w:r>
      <w:r w:rsidR="006C42D0">
        <w:t>oelichting art. 4</w:t>
      </w:r>
      <w:bookmarkEnd w:id="27"/>
    </w:p>
    <w:p w:rsidR="006C42D0" w:rsidRDefault="006C42D0" w:rsidP="006C42D0">
      <w:pPr>
        <w:pStyle w:val="Kop2"/>
      </w:pPr>
      <w:bookmarkStart w:id="28" w:name="_Toc370291982"/>
      <w:r>
        <w:t>1998</w:t>
      </w:r>
      <w:bookmarkEnd w:id="28"/>
    </w:p>
    <w:p w:rsidR="006C42D0" w:rsidRDefault="006C42D0" w:rsidP="006C42D0">
      <w:pPr>
        <w:pStyle w:val="Kop3"/>
      </w:pPr>
      <w:r>
        <w:t>Toelichting</w:t>
      </w:r>
    </w:p>
    <w:p w:rsidR="006C42D0" w:rsidRDefault="006C42D0" w:rsidP="006C42D0">
      <w:pPr>
        <w:pStyle w:val="Kop4"/>
      </w:pPr>
      <w:r>
        <w:t>Artikel 5</w:t>
      </w:r>
    </w:p>
    <w:p w:rsidR="006C42D0" w:rsidRDefault="006C42D0" w:rsidP="006C42D0">
      <w:r>
        <w:t xml:space="preserve"> </w:t>
      </w:r>
    </w:p>
    <w:p w:rsidR="006C42D0" w:rsidRDefault="006C42D0" w:rsidP="006C42D0">
      <w:r>
        <w:t>lid 1</w:t>
      </w:r>
    </w:p>
    <w:p w:rsidR="006C42D0" w:rsidRDefault="006C42D0" w:rsidP="006C42D0">
      <w:r>
        <w:t xml:space="preserve"> </w:t>
      </w:r>
    </w:p>
    <w:p w:rsidR="006C42D0" w:rsidRDefault="006C42D0" w:rsidP="006C42D0">
      <w:r>
        <w:t xml:space="preserve">Gedurende de looptijd van het convenant zullen partijen geen beroep doen op rechterlijke uitspraken over de hoogte van het civiele plafond, de bruto netto problematiek en vragen rondom medische causaliteit mits niet vallend onder de uitzondering, die hierboven in artikel 4, lid 2 is vermeld. Lopende procedures zullen worden beëindigd met compensatie van kosten. </w:t>
      </w:r>
    </w:p>
    <w:p w:rsidR="006C42D0" w:rsidRDefault="006C42D0" w:rsidP="006C42D0"/>
    <w:p w:rsidR="006C42D0" w:rsidRDefault="006C42D0" w:rsidP="006C42D0">
      <w:r>
        <w:t>lid 2</w:t>
      </w:r>
    </w:p>
    <w:p w:rsidR="006C42D0" w:rsidRDefault="006C42D0" w:rsidP="006C42D0">
      <w:r>
        <w:t xml:space="preserve"> </w:t>
      </w:r>
    </w:p>
    <w:p w:rsidR="006C42D0" w:rsidRDefault="006C42D0" w:rsidP="006C42D0">
      <w:r>
        <w:t>Deelnemers aan het convenant verhaalsrecht WAO zullen ook geen beroep doen op rechterlijke uitspraken zoals omschreven bij lid 1 waarbij partijen betrokken zijn die niet deelnemen aan het convenant.</w:t>
      </w:r>
    </w:p>
    <w:p w:rsidR="006C42D0" w:rsidRDefault="006C42D0" w:rsidP="006C42D0"/>
    <w:p w:rsidR="006C42D0" w:rsidRDefault="006C42D0" w:rsidP="006C42D0">
      <w:pPr>
        <w:pStyle w:val="Kop2"/>
      </w:pPr>
      <w:bookmarkStart w:id="29" w:name="_Toc370291983"/>
      <w:r>
        <w:t>2001</w:t>
      </w:r>
      <w:bookmarkEnd w:id="29"/>
      <w:r>
        <w:t xml:space="preserve"> </w:t>
      </w:r>
    </w:p>
    <w:p w:rsidR="006C42D0" w:rsidRDefault="006C42D0" w:rsidP="006C42D0">
      <w:pPr>
        <w:pStyle w:val="Kop3"/>
      </w:pPr>
      <w:r>
        <w:t>Toelichting</w:t>
      </w:r>
    </w:p>
    <w:p w:rsidR="00546231" w:rsidRDefault="00546231" w:rsidP="00546231"/>
    <w:p w:rsidR="006C42D0" w:rsidRDefault="006C42D0" w:rsidP="006C42D0">
      <w:pPr>
        <w:pStyle w:val="Kop4"/>
      </w:pPr>
      <w:r>
        <w:t>Artikel 4</w:t>
      </w:r>
    </w:p>
    <w:p w:rsidR="006C42D0" w:rsidRDefault="006C42D0" w:rsidP="006C42D0">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6C42D0" w:rsidRDefault="006C42D0" w:rsidP="006C42D0"/>
    <w:p w:rsidR="006C42D0" w:rsidRDefault="006C42D0" w:rsidP="006C42D0">
      <w:pPr>
        <w:pStyle w:val="Kop2"/>
      </w:pPr>
      <w:bookmarkStart w:id="30" w:name="_Toc370291984"/>
      <w:r>
        <w:t>2004</w:t>
      </w:r>
      <w:bookmarkEnd w:id="30"/>
    </w:p>
    <w:p w:rsidR="006C42D0" w:rsidRDefault="006C42D0" w:rsidP="006C42D0">
      <w:pPr>
        <w:pStyle w:val="Kop3"/>
      </w:pPr>
      <w:r>
        <w:t>Toelichting</w:t>
      </w:r>
    </w:p>
    <w:p w:rsidR="006C42D0" w:rsidRDefault="006C42D0" w:rsidP="006C42D0">
      <w:pPr>
        <w:pStyle w:val="Kop4"/>
      </w:pPr>
      <w:r>
        <w:t>Artikel 4</w:t>
      </w:r>
    </w:p>
    <w:p w:rsidR="006C42D0" w:rsidRDefault="006C42D0" w:rsidP="006C42D0">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6C42D0" w:rsidRDefault="006C42D0" w:rsidP="006C42D0"/>
    <w:p w:rsidR="006C42D0" w:rsidRDefault="006C42D0" w:rsidP="006C42D0">
      <w:pPr>
        <w:pStyle w:val="Kop2"/>
      </w:pPr>
      <w:bookmarkStart w:id="31" w:name="_Toc370291985"/>
      <w:r>
        <w:t>2011</w:t>
      </w:r>
      <w:bookmarkEnd w:id="31"/>
    </w:p>
    <w:p w:rsidR="006C42D0" w:rsidRDefault="006C42D0" w:rsidP="006C42D0">
      <w:pPr>
        <w:pStyle w:val="Kop3"/>
      </w:pPr>
      <w:r>
        <w:t>Toelichting</w:t>
      </w:r>
    </w:p>
    <w:p w:rsidR="006C42D0" w:rsidRDefault="006C42D0" w:rsidP="006C42D0"/>
    <w:p w:rsidR="006C42D0" w:rsidRDefault="006C42D0" w:rsidP="006C42D0">
      <w:pPr>
        <w:pStyle w:val="Kop4"/>
      </w:pPr>
      <w:r>
        <w:t>Artikel 4</w:t>
      </w:r>
    </w:p>
    <w:p w:rsidR="006C42D0" w:rsidRDefault="006C42D0" w:rsidP="006C42D0">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6C42D0" w:rsidRDefault="006C42D0" w:rsidP="006C42D0"/>
    <w:p w:rsidR="006C42D0" w:rsidRDefault="006C42D0" w:rsidP="006C42D0">
      <w:pPr>
        <w:pStyle w:val="Kop2"/>
      </w:pPr>
      <w:bookmarkStart w:id="32" w:name="_Toc370291986"/>
      <w:r>
        <w:lastRenderedPageBreak/>
        <w:t>2013</w:t>
      </w:r>
      <w:bookmarkEnd w:id="32"/>
    </w:p>
    <w:p w:rsidR="006C42D0" w:rsidRDefault="006C42D0" w:rsidP="006C42D0">
      <w:pPr>
        <w:pStyle w:val="Kop3"/>
      </w:pPr>
      <w:r>
        <w:t>Toelichting</w:t>
      </w:r>
    </w:p>
    <w:p w:rsidR="006C42D0" w:rsidRDefault="006C42D0" w:rsidP="006C42D0">
      <w:pPr>
        <w:pStyle w:val="Kop4"/>
      </w:pPr>
      <w:r>
        <w:t>Artikel 4</w:t>
      </w:r>
    </w:p>
    <w:p w:rsidR="006C42D0" w:rsidRDefault="006C42D0" w:rsidP="006C42D0">
      <w:r>
        <w:t xml:space="preserve">Gedurende de looptijd van het convenant zullen partijen geen beroep doen op rechterlijke uitspraken over de hoogte van het civiele plafond, waaronder begrepen de </w:t>
      </w:r>
      <w:proofErr w:type="spellStart"/>
      <w:r>
        <w:t>bruto-netto</w:t>
      </w:r>
      <w:proofErr w:type="spellEnd"/>
      <w:r>
        <w:t xml:space="preserve"> problematiek, waarbij partijen betrokken zijn die op onderhavig convenant niet hebben ingetekend.</w:t>
      </w:r>
    </w:p>
    <w:p w:rsidR="006C42D0" w:rsidRDefault="006C42D0" w:rsidP="006C42D0"/>
    <w:p w:rsidR="006C42D0" w:rsidRPr="00916A8C" w:rsidRDefault="006C42D0" w:rsidP="006C42D0"/>
    <w:p w:rsidR="006C42D0" w:rsidRDefault="006C42D0" w:rsidP="006C42D0"/>
    <w:p w:rsidR="006C42D0" w:rsidRPr="006C42D0" w:rsidRDefault="006C42D0" w:rsidP="006C42D0"/>
    <w:p w:rsidR="006C42D0" w:rsidRDefault="006C42D0" w:rsidP="006C42D0"/>
    <w:sectPr w:rsidR="006C42D0" w:rsidSect="006229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2F31"/>
    <w:multiLevelType w:val="hybridMultilevel"/>
    <w:tmpl w:val="1F4CE6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955D61"/>
    <w:multiLevelType w:val="hybridMultilevel"/>
    <w:tmpl w:val="1F4CE6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D6669B"/>
    <w:multiLevelType w:val="hybridMultilevel"/>
    <w:tmpl w:val="73F87582"/>
    <w:lvl w:ilvl="0" w:tplc="D2F24572">
      <w:start w:val="1"/>
      <w:numFmt w:val="lowerLetter"/>
      <w:lvlText w:val="%1)"/>
      <w:lvlJc w:val="left"/>
      <w:pPr>
        <w:ind w:left="1245" w:hanging="88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D9402C"/>
    <w:multiLevelType w:val="hybridMultilevel"/>
    <w:tmpl w:val="1F4CE6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0BC59CB"/>
    <w:multiLevelType w:val="hybridMultilevel"/>
    <w:tmpl w:val="1F4CE6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21"/>
  <w:defaultTabStop w:val="708"/>
  <w:hyphenationZone w:val="425"/>
  <w:characterSpacingControl w:val="doNotCompress"/>
  <w:compat/>
  <w:rsids>
    <w:rsidRoot w:val="001F728D"/>
    <w:rsid w:val="001F728D"/>
    <w:rsid w:val="00260992"/>
    <w:rsid w:val="00263BAF"/>
    <w:rsid w:val="00287208"/>
    <w:rsid w:val="002C34A9"/>
    <w:rsid w:val="003162A0"/>
    <w:rsid w:val="00345E77"/>
    <w:rsid w:val="00373E6E"/>
    <w:rsid w:val="003A03E1"/>
    <w:rsid w:val="003C008D"/>
    <w:rsid w:val="004A540E"/>
    <w:rsid w:val="004B7208"/>
    <w:rsid w:val="00526392"/>
    <w:rsid w:val="00546231"/>
    <w:rsid w:val="0055387E"/>
    <w:rsid w:val="00555496"/>
    <w:rsid w:val="006229FB"/>
    <w:rsid w:val="00672A81"/>
    <w:rsid w:val="006A5690"/>
    <w:rsid w:val="006C42D0"/>
    <w:rsid w:val="006F0CA9"/>
    <w:rsid w:val="00707C33"/>
    <w:rsid w:val="00874CB6"/>
    <w:rsid w:val="008F7743"/>
    <w:rsid w:val="00916A8C"/>
    <w:rsid w:val="00962360"/>
    <w:rsid w:val="009F0A72"/>
    <w:rsid w:val="00A75355"/>
    <w:rsid w:val="00B7490B"/>
    <w:rsid w:val="00BD27A3"/>
    <w:rsid w:val="00C32460"/>
    <w:rsid w:val="00C4247F"/>
    <w:rsid w:val="00CF2FA3"/>
    <w:rsid w:val="00D63954"/>
    <w:rsid w:val="00DB59E6"/>
    <w:rsid w:val="00E232DD"/>
    <w:rsid w:val="00E50391"/>
    <w:rsid w:val="00EC5673"/>
    <w:rsid w:val="00EF1754"/>
    <w:rsid w:val="00F10C48"/>
    <w:rsid w:val="00F11533"/>
    <w:rsid w:val="00FA3B1D"/>
    <w:rsid w:val="00FF1F4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728D"/>
    <w:rPr>
      <w:rFonts w:ascii="Arial" w:eastAsiaTheme="minorHAnsi" w:hAnsi="Arial" w:cs="Arial"/>
    </w:rPr>
  </w:style>
  <w:style w:type="paragraph" w:styleId="Kop1">
    <w:name w:val="heading 1"/>
    <w:basedOn w:val="Standaard"/>
    <w:next w:val="Standaard"/>
    <w:link w:val="Kop1Char"/>
    <w:qFormat/>
    <w:rsid w:val="0055387E"/>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Kop2">
    <w:name w:val="heading 2"/>
    <w:basedOn w:val="Standaard"/>
    <w:next w:val="Standaard"/>
    <w:link w:val="Kop2Char"/>
    <w:unhideWhenUsed/>
    <w:qFormat/>
    <w:rsid w:val="0055387E"/>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Kop3">
    <w:name w:val="heading 3"/>
    <w:basedOn w:val="Standaard"/>
    <w:next w:val="Standaard"/>
    <w:link w:val="Kop3Char"/>
    <w:unhideWhenUsed/>
    <w:qFormat/>
    <w:rsid w:val="00916A8C"/>
    <w:pPr>
      <w:keepNext/>
      <w:keepLines/>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nhideWhenUsed/>
    <w:qFormat/>
    <w:rsid w:val="00916A8C"/>
    <w:pPr>
      <w:keepNext/>
      <w:keepLines/>
      <w:spacing w:before="200"/>
      <w:outlineLvl w:val="3"/>
    </w:pPr>
    <w:rPr>
      <w:rFonts w:asciiTheme="majorHAnsi" w:eastAsiaTheme="majorEastAsia" w:hAnsiTheme="majorHAnsi" w:cstheme="majorBidi"/>
      <w:b/>
      <w:bCs/>
      <w:i/>
      <w:iCs/>
      <w:color w:val="00000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387E"/>
    <w:rPr>
      <w:rFonts w:asciiTheme="majorHAnsi" w:eastAsiaTheme="majorEastAsia" w:hAnsiTheme="majorHAnsi" w:cstheme="majorBidi"/>
      <w:b/>
      <w:bCs/>
      <w:color w:val="000000" w:themeColor="accent1" w:themeShade="BF"/>
      <w:sz w:val="28"/>
      <w:szCs w:val="28"/>
    </w:rPr>
  </w:style>
  <w:style w:type="character" w:customStyle="1" w:styleId="Kop2Char">
    <w:name w:val="Kop 2 Char"/>
    <w:basedOn w:val="Standaardalinea-lettertype"/>
    <w:link w:val="Kop2"/>
    <w:rsid w:val="0055387E"/>
    <w:rPr>
      <w:rFonts w:asciiTheme="majorHAnsi" w:eastAsiaTheme="majorEastAsia" w:hAnsiTheme="majorHAnsi" w:cstheme="majorBidi"/>
      <w:b/>
      <w:bCs/>
      <w:color w:val="000000" w:themeColor="accent1"/>
      <w:sz w:val="26"/>
      <w:szCs w:val="26"/>
    </w:rPr>
  </w:style>
  <w:style w:type="character" w:customStyle="1" w:styleId="Kop3Char">
    <w:name w:val="Kop 3 Char"/>
    <w:basedOn w:val="Standaardalinea-lettertype"/>
    <w:link w:val="Kop3"/>
    <w:rsid w:val="00916A8C"/>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rsid w:val="00916A8C"/>
    <w:rPr>
      <w:rFonts w:asciiTheme="majorHAnsi" w:eastAsiaTheme="majorEastAsia" w:hAnsiTheme="majorHAnsi" w:cstheme="majorBidi"/>
      <w:b/>
      <w:bCs/>
      <w:i/>
      <w:iCs/>
      <w:color w:val="000000" w:themeColor="accent1"/>
    </w:rPr>
  </w:style>
  <w:style w:type="paragraph" w:styleId="Lijstalinea">
    <w:name w:val="List Paragraph"/>
    <w:basedOn w:val="Standaard"/>
    <w:uiPriority w:val="34"/>
    <w:qFormat/>
    <w:rsid w:val="00916A8C"/>
    <w:pPr>
      <w:ind w:left="720"/>
      <w:contextualSpacing/>
    </w:pPr>
  </w:style>
  <w:style w:type="paragraph" w:styleId="Kopvaninhoudsopgave">
    <w:name w:val="TOC Heading"/>
    <w:basedOn w:val="Kop1"/>
    <w:next w:val="Standaard"/>
    <w:uiPriority w:val="39"/>
    <w:semiHidden/>
    <w:unhideWhenUsed/>
    <w:qFormat/>
    <w:rsid w:val="00287208"/>
    <w:pPr>
      <w:spacing w:line="276" w:lineRule="auto"/>
      <w:outlineLvl w:val="9"/>
    </w:pPr>
    <w:rPr>
      <w:lang w:eastAsia="en-US"/>
    </w:rPr>
  </w:style>
  <w:style w:type="paragraph" w:styleId="Inhopg1">
    <w:name w:val="toc 1"/>
    <w:basedOn w:val="Standaard"/>
    <w:next w:val="Standaard"/>
    <w:autoRedefine/>
    <w:uiPriority w:val="39"/>
    <w:rsid w:val="00287208"/>
    <w:pPr>
      <w:spacing w:after="100"/>
    </w:pPr>
  </w:style>
  <w:style w:type="paragraph" w:styleId="Inhopg2">
    <w:name w:val="toc 2"/>
    <w:basedOn w:val="Standaard"/>
    <w:next w:val="Standaard"/>
    <w:autoRedefine/>
    <w:uiPriority w:val="39"/>
    <w:rsid w:val="00287208"/>
    <w:pPr>
      <w:spacing w:after="100"/>
      <w:ind w:left="200"/>
    </w:pPr>
  </w:style>
  <w:style w:type="paragraph" w:styleId="Inhopg3">
    <w:name w:val="toc 3"/>
    <w:basedOn w:val="Standaard"/>
    <w:next w:val="Standaard"/>
    <w:autoRedefine/>
    <w:uiPriority w:val="39"/>
    <w:rsid w:val="00287208"/>
    <w:pPr>
      <w:spacing w:after="100"/>
      <w:ind w:left="400"/>
    </w:pPr>
  </w:style>
  <w:style w:type="character" w:styleId="Hyperlink">
    <w:name w:val="Hyperlink"/>
    <w:basedOn w:val="Standaardalinea-lettertype"/>
    <w:uiPriority w:val="99"/>
    <w:unhideWhenUsed/>
    <w:rsid w:val="00287208"/>
    <w:rPr>
      <w:color w:val="0070C0" w:themeColor="hyperlink"/>
      <w:u w:val="single"/>
    </w:rPr>
  </w:style>
  <w:style w:type="paragraph" w:styleId="Ballontekst">
    <w:name w:val="Balloon Text"/>
    <w:basedOn w:val="Standaard"/>
    <w:link w:val="BallontekstChar"/>
    <w:rsid w:val="00287208"/>
    <w:rPr>
      <w:rFonts w:ascii="Tahoma" w:hAnsi="Tahoma" w:cs="Tahoma"/>
      <w:sz w:val="16"/>
      <w:szCs w:val="16"/>
    </w:rPr>
  </w:style>
  <w:style w:type="character" w:customStyle="1" w:styleId="BallontekstChar">
    <w:name w:val="Ballontekst Char"/>
    <w:basedOn w:val="Standaardalinea-lettertype"/>
    <w:link w:val="Ballontekst"/>
    <w:rsid w:val="0028720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799192">
      <w:bodyDiv w:val="1"/>
      <w:marLeft w:val="0"/>
      <w:marRight w:val="0"/>
      <w:marTop w:val="0"/>
      <w:marBottom w:val="0"/>
      <w:divBdr>
        <w:top w:val="none" w:sz="0" w:space="0" w:color="auto"/>
        <w:left w:val="none" w:sz="0" w:space="0" w:color="auto"/>
        <w:bottom w:val="none" w:sz="0" w:space="0" w:color="auto"/>
        <w:right w:val="none" w:sz="0" w:space="0" w:color="auto"/>
      </w:divBdr>
    </w:div>
    <w:div w:id="524561194">
      <w:bodyDiv w:val="1"/>
      <w:marLeft w:val="0"/>
      <w:marRight w:val="0"/>
      <w:marTop w:val="0"/>
      <w:marBottom w:val="0"/>
      <w:divBdr>
        <w:top w:val="none" w:sz="0" w:space="0" w:color="auto"/>
        <w:left w:val="none" w:sz="0" w:space="0" w:color="auto"/>
        <w:bottom w:val="none" w:sz="0" w:space="0" w:color="auto"/>
        <w:right w:val="none" w:sz="0" w:space="0" w:color="auto"/>
      </w:divBdr>
    </w:div>
    <w:div w:id="838423219">
      <w:bodyDiv w:val="1"/>
      <w:marLeft w:val="0"/>
      <w:marRight w:val="0"/>
      <w:marTop w:val="0"/>
      <w:marBottom w:val="0"/>
      <w:divBdr>
        <w:top w:val="none" w:sz="0" w:space="0" w:color="auto"/>
        <w:left w:val="none" w:sz="0" w:space="0" w:color="auto"/>
        <w:bottom w:val="none" w:sz="0" w:space="0" w:color="auto"/>
        <w:right w:val="none" w:sz="0" w:space="0" w:color="auto"/>
      </w:divBdr>
    </w:div>
    <w:div w:id="898781370">
      <w:bodyDiv w:val="1"/>
      <w:marLeft w:val="0"/>
      <w:marRight w:val="0"/>
      <w:marTop w:val="0"/>
      <w:marBottom w:val="0"/>
      <w:divBdr>
        <w:top w:val="none" w:sz="0" w:space="0" w:color="auto"/>
        <w:left w:val="none" w:sz="0" w:space="0" w:color="auto"/>
        <w:bottom w:val="none" w:sz="0" w:space="0" w:color="auto"/>
        <w:right w:val="none" w:sz="0" w:space="0" w:color="auto"/>
      </w:divBdr>
    </w:div>
    <w:div w:id="11219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ees">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70C0"/>
      </a:hlink>
      <a:folHlink>
        <a:srgbClr val="C0000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5EC08-10BD-4E7B-A174-51A98284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3786</Words>
  <Characters>20828</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Visser</dc:creator>
  <cp:lastModifiedBy>C. Visser</cp:lastModifiedBy>
  <cp:revision>5</cp:revision>
  <dcterms:created xsi:type="dcterms:W3CDTF">2013-10-23T07:05:00Z</dcterms:created>
  <dcterms:modified xsi:type="dcterms:W3CDTF">2013-10-23T14:24:00Z</dcterms:modified>
</cp:coreProperties>
</file>